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Isolering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Meggerkort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kedja i ordning, referens skrov, 2,4 = GO efter kåpa, 0,4 = STOP + avvikelse, 1 MΩ = upplysning.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saknas megger på varvet → tvåpol + gapflagga.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 på spänning, PE som referens, 1 MΩ som lag, hoppar lås, 0,4 tillslag.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230 V-grupp i inredningen. Kabel bytt. Isolera på papper. Megga inte på spänning.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Ingen megger på spänningssatt grupp.</w:t>
            </w:r>
          </w:p>
        </w:tc>
      </w:tr>
    </w:tbl>
    <w:p>
      <w:pPr>
        <w:spacing w:after="80"/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Meggerkort — ifyllt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Kedja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 ordning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Referens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skrov/stomme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PE.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5046"/>
        <w:gridCol w:w="5046"/>
      </w:tblGrid>
      <w:tr>
        <w:tc>
          <w:tcPr>
            <w:tcW w:type="dxa" w:w="10092"/>
            <w:gridSpan w:val="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MEGGERKORT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Grupp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230 V inredning, kabel bytt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Tid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före arbete, avställd grupp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Kedja i ordning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[1] från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[2] lås / skylt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[3] tvåpol död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[4] megger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[5] protokoll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Referens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☑ skrov / stomme     ☐ PE-skena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Samma grupp hela kortet. Referens är skrov/stomme, inte PE-skena.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Avläsning A</w:t>
              <w:br/>
              <w:t>2,4 MΩ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Beslut: ☑ GO     ☐ STOP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Tillslag: GO — planera tillslag EFTER kåpa på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Avläsning B</w:t>
              <w:br/>
              <w:t>0,4 MΩ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Beslut: ☐ GO     ☑ STOP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Tillslag: STOP — inte spänningssätt, avvikelse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1 MΩ är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☐ skall i 5 §     ☑ upplysning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2,4 MΩ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= GO att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planera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tillslag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efter kåpa på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tillslag med öppen kåpa.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0,4 MΩ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= STOP. Ingen tillslag. Skriv avvikelse.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1 MΩ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= upplysning, inte lag. Inte “olagligt enligt 5 §”.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 = referens är inte PE-skenan hemma.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Ingenjör = bara för att maskinen inte låter betyder det inte att den är avställd.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VG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Saknas megger på varvet → </w:t>
      </w:r>
      <w:r>
        <w:rPr>
          <w:rFonts w:ascii="IBM Plex Sans" w:hAnsi="IBM Plex Sans" w:eastAsia="IBM Plex Sans" w:cs="IBM Plex Sans"/>
          <w:b/>
          <w:color w:val="111111"/>
          <w:sz w:val="21"/>
        </w:rPr>
        <w:t>tvåpol + gapflagga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Skriv att meggern saknas. Hitta inte på ett tal. Skippa inte isolation.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skolessä. Inte 1 MΩ som skall.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V2 · LÄRARE facit meggerkort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