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34.png" ContentType="image/png"/>
  <Override PartName="/word/media/rId42.png" ContentType="image/png"/>
  <Override PartName="/word/media/rId44.png" ContentType="image/png"/>
  <Override PartName="/word/media/rId47.png" ContentType="image/png"/>
  <Override PartName="/word/media/rId50.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converted from fully open access to a subscription model, including hybrid open access.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converted from fully open access to a subscription-based business model per year."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the following four major bibliometric databases: Crossref, a large DOI registration agency for scholarly works, Scopus, Journal Citation Report (JCR) listing journals indexed in the Web of Science, and MEDLINE. This analysis is based at the journal-level by matching ISSN variants. We used the most current available journal lists and search indexes at the time of our analysis in January 2019.</w:t>
      </w:r>
    </w:p>
    <w:p>
      <w:pPr>
        <w:pStyle w:val="BodyText"/>
      </w:pPr>
      <w:r>
        <w:t xml:space="preserve">In total, we found 147 journals that were indexed by at least one bibliometric databases examined, covering 97% of the journals in our study. Figure presents the number of reverse-flip journals that were indexed by each database together with the intersections with the other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yearly article volume varies considerably (see Figure 4), ranging from 10 to 638 with half of the journals publishing 56 or fewer articles per year.</w:t>
      </w:r>
    </w:p>
    <w:p>
      <w:pPr>
        <w:pStyle w:val="CaptionedFigure"/>
      </w:pPr>
      <w:r>
        <w:drawing>
          <wp:inline>
            <wp:extent cx="5334000" cy="3295226"/>
            <wp:effectExtent b="0" l="0" r="0" t="0"/>
            <wp:docPr descr="Histogram of average journal size in terms of yearly article volume published. Red dashed line represents the median, yellow dashed lined the mean value of the distribution."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average journal size in terms of yearly article volume published. Red dashed line represents the median, yellow dashed lined the mean value of the distribution.</w:t>
      </w:r>
    </w:p>
    <w:p>
      <w:pPr>
        <w:pStyle w:val="Heading4"/>
      </w:pPr>
      <w:bookmarkStart w:id="28" w:name="c-to-which-academic-disciplines-do-the-journals-belong-to"/>
      <w:r>
        <w:t xml:space="preserve">c) To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PSM</w:t>
            </w:r>
          </w:p>
        </w:tc>
        <w:tc>
          <w:p>
            <w:pPr>
              <w:pStyle w:val="Compact"/>
              <w:jc w:val="right"/>
            </w:pPr>
            <w:r>
              <w:t xml:space="preserve">52</w:t>
            </w:r>
          </w:p>
        </w:tc>
        <w:tc>
          <w:p>
            <w:pPr>
              <w:pStyle w:val="Compact"/>
              <w:jc w:val="right"/>
            </w:pPr>
            <w:r>
              <w:t xml:space="preserve">34</w:t>
            </w:r>
          </w:p>
        </w:tc>
      </w:tr>
      <w:tr>
        <w:tc>
          <w:p>
            <w:pPr>
              <w:pStyle w:val="Compact"/>
              <w:jc w:val="left"/>
            </w:pPr>
            <w:r>
              <w:t xml:space="preserve">Health</w:t>
            </w:r>
          </w:p>
        </w:tc>
        <w:tc>
          <w:p>
            <w:pPr>
              <w:pStyle w:val="Compact"/>
              <w:jc w:val="right"/>
            </w:pPr>
            <w:r>
              <w:t xml:space="preserve">39</w:t>
            </w:r>
          </w:p>
        </w:tc>
        <w:tc>
          <w:p>
            <w:pPr>
              <w:pStyle w:val="Compact"/>
              <w:jc w:val="right"/>
            </w:pPr>
            <w:r>
              <w:t xml:space="preserve">26</w:t>
            </w:r>
          </w:p>
        </w:tc>
      </w:tr>
      <w:tr>
        <w:tc>
          <w:p>
            <w:pPr>
              <w:pStyle w:val="Compact"/>
              <w:jc w:val="left"/>
            </w:pPr>
            <w:r>
              <w:t xml:space="preserve">SSH</w:t>
            </w:r>
          </w:p>
        </w:tc>
        <w:tc>
          <w:p>
            <w:pPr>
              <w:pStyle w:val="Compact"/>
              <w:jc w:val="right"/>
            </w:pPr>
            <w:r>
              <w:t xml:space="preserve">38</w:t>
            </w:r>
          </w:p>
        </w:tc>
        <w:tc>
          <w:p>
            <w:pPr>
              <w:pStyle w:val="Compact"/>
              <w:jc w:val="right"/>
            </w:pPr>
            <w:r>
              <w:t xml:space="preserve">25</w:t>
            </w:r>
          </w:p>
        </w:tc>
      </w:tr>
      <w:tr>
        <w:tc>
          <w:p>
            <w:pPr>
              <w:pStyle w:val="Compact"/>
              <w:jc w:val="left"/>
            </w:pPr>
            <w:r>
              <w:t xml:space="preserve">LS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does-currently-publish-the-journals"/>
      <w:r>
        <w:t xml:space="preserve">d) Under which publisher did the reverse-flip occur? Who does currently publish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post-flip and current top publishers based on the number of journals that were converted from fully OA to subscription access. These six publishers - Elsevier, Springer Nature, Taylor &amp; Francis, De Gruyter, Brill and Wiley - comprised 105 journals at the time of the reverse-flip and 104 at the time of the most recent volume, representing around 70% of all reverse-flips journals investigated. The remaining publishers are categorized as</w:t>
      </w:r>
      <w:r>
        <w:t xml:space="preserve"> </w:t>
      </w:r>
      <w:r>
        <w:t xml:space="preserve">“</w:t>
      </w:r>
      <w:r>
        <w:t xml:space="preserve">Other</w:t>
      </w:r>
      <w:r>
        <w:t xml:space="preserve">”</w:t>
      </w:r>
      <w:r>
        <w:t xml:space="preserve">. The distribution of reverse flips across publishers resembles the general conditions of the scholarly publishing market at-large, which is also dominated by large commercial publishers like Elsevier, Springer Nature, Taylor and Francis, and Wiley.</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reversely-flipped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academic-institutions"/>
      <w:r>
        <w:t xml:space="preserve">e) How many journals have been associated with scholarly societies or academic institutions?</w:t>
      </w:r>
      <w:bookmarkEnd w:id="30"/>
    </w:p>
    <w:p>
      <w:pPr>
        <w:pStyle w:val="FirstParagraph"/>
      </w:pPr>
      <w:r>
        <w:t xml:space="preserve">Our dataset contains information about whether reverse-flipped journals were related to scholarly societies and academic institutions. We obtained 107 (70 %) reverse-flip journals that were either published together with a scholarly society (N = 59) or at an academic institution (N = 48).</w:t>
      </w:r>
    </w:p>
    <w:p>
      <w:pPr>
        <w:pStyle w:val="BodyText"/>
      </w:pPr>
      <w:r>
        <w:t xml:space="preserve">Figure presents the extent to which journals were related to scholarly societies or academic institutions at the time of the reverse-flip. It shows that the majority of reverse-flip journals from major publishers were affiliated with professional associations and other research organisations.</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2" w:name="f-how-old-were-the-journals-at-the-time-of-the-reverse-flip"/>
      <w:r>
        <w:t xml:space="preserve">f) How old were the journals at the time of the reverse flip?</w:t>
      </w:r>
      <w:bookmarkEnd w:id="32"/>
    </w:p>
    <w:p>
      <w:pPr>
        <w:pStyle w:val="FirstParagraph"/>
      </w:pPr>
      <w:r>
        <w:t xml:space="preserve">Table provides summary statistics about the journal age at the year of the reverse flip. Large age differences can be observed, ranging from one year of existences to 124 years. Around 43%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number of journals converted from fully open access to a subscription-based business model per year grouped by journal age when the reverse flip happened.</w:t>
      </w:r>
    </w:p>
    <w:p>
      <w:pPr>
        <w:pStyle w:val="CaptionedFigure"/>
      </w:pPr>
      <w:r>
        <w:drawing>
          <wp:inline>
            <wp:extent cx="5334000" cy="3295226"/>
            <wp:effectExtent b="0" l="0" r="0" t="0"/>
            <wp:docPr descr="Number of journals converted from fully open access to a subscription-based business model per year, grouped by journal age at time of reverse flip."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33"/>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grouped by journal age at time of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5" w:name="research-question-3-before-the-reverse-flip"/>
      <w:r>
        <w:t xml:space="preserve">Research Question 3: Before the reverse flip,</w:t>
      </w:r>
      <w:bookmarkEnd w:id="35"/>
    </w:p>
    <w:p>
      <w:pPr>
        <w:pStyle w:val="Heading4"/>
      </w:pPr>
      <w:bookmarkStart w:id="36" w:name="a-how-many-journals-had-been-subscription-venues-before-converting-to-oa"/>
      <w:r>
        <w:t xml:space="preserve">a) How many journals had been subscription venues before converting to OA?</w:t>
      </w:r>
      <w:bookmarkEnd w:id="36"/>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7" w:name="b-how-many-journals-were-apc-based-and-at-what-price-levels"/>
      <w:r>
        <w:t xml:space="preserve">b) How many journals were APC-based, and at what price levels?</w:t>
      </w:r>
      <w:bookmarkEnd w:id="37"/>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4"/>
      </w:pPr>
      <w:bookmarkStart w:id="38" w:name="c-which-countries-were-the-journals-based-in"/>
      <w:r>
        <w:t xml:space="preserve">c) Which countries were the journals based in?</w:t>
      </w:r>
      <w:bookmarkEnd w:id="38"/>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reverse-flip. Our analysis shows that around 50 % (N = 76) of the journals shifted to a hybrid OA model, while the remaining 50 % (N = 76) transformed to subscription venues.</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unnamed-chunk-17-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19-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FirstParagraph"/>
      </w:pPr>
      <w:r>
        <w:t xml:space="preserve">We were able to obtain publication fee list prices before and after the flip including the most recent level in 2018 for 31 journals. Figure compares them with each other, highlighting an considerable increase after the reverse flip.</w:t>
      </w:r>
    </w:p>
    <w:p>
      <w:pPr>
        <w:pStyle w:val="CaptionedFigure"/>
      </w:pPr>
      <w:r>
        <w:drawing>
          <wp:inline>
            <wp:extent cx="5334000" cy="3295226"/>
            <wp:effectExtent b="0" l="0" r="0" t="0"/>
            <wp:docPr descr="APC list prices before and after the flip including most current level among reverse-flip journals." title="" id="1" name="Picture"/>
            <a:graphic>
              <a:graphicData uri="http://schemas.openxmlformats.org/drawingml/2006/picture">
                <pic:pic>
                  <pic:nvPicPr>
                    <pic:cNvPr descr="results_files/figure-docx/unnamed-chunk-21-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APC list prices before and after the flip including most current level among reverse-flip journals.</w:t>
      </w:r>
    </w:p>
    <w:p>
      <w:pPr>
        <w:pStyle w:val="Heading4"/>
      </w:pPr>
      <w:bookmarkStart w:id="48" w:name="b-what-is-the-uptake-of-hybrid-oa-articles-was-open-access-publication-in-reverse-flip-journals-enabled-by-transformative-aggrements"/>
      <w:r>
        <w:t xml:space="preserve">b) What is the uptake of hybrid OA articles; Was open access publication in reverse-flip journals enabled by transformative aggrements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finally checked whether institutions have financed hybrid open access articles in reverse-flipped journals. We found evidence for institutional sponsorship for three individual articles in reverse-flip journals, and as part of a transformative agreement</w:t>
      </w:r>
      <w:r>
        <w:t xml:space="preserve"> </w:t>
      </w:r>
      <w:r>
        <w:t xml:space="preserve">“</w:t>
      </w:r>
      <w:r>
        <w:t xml:space="preserve">Springer Compact</w:t>
      </w:r>
      <w:r>
        <w:t xml:space="preserve">”</w:t>
      </w:r>
      <w:r>
        <w:t xml:space="preserve"> </w:t>
      </w:r>
      <w:r>
        <w:t xml:space="preserve">offered by Springer Nature to individual institutions and countries. Table summaries the total number of articles in reverse-flip journal that were made openly available under</w:t>
      </w:r>
      <w:r>
        <w:t xml:space="preserve"> </w:t>
      </w:r>
      <w:r>
        <w:t xml:space="preserve">“</w:t>
      </w:r>
      <w:r>
        <w:t xml:space="preserve">Springer Compact</w:t>
      </w:r>
      <w:r>
        <w:t xml:space="preserve">”</w:t>
      </w:r>
      <w:r>
        <w:t xml:space="preserve"> </w:t>
      </w:r>
      <w:r>
        <w:t xml:space="preserve">agreements, as well as its proportion per transformation contract. Although the proportion these articles is marginally, findings suggest that mechanisms were missing that would have helped institutions to prevent funding of open access publication in reverse-flipped journals.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25-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2019-01-27T14:50:30Z</dcterms:created>
  <dcterms:modified xsi:type="dcterms:W3CDTF">2019-01-27T14:50:30Z</dcterms:modified>
</cp:coreProperties>
</file>