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3.png" ContentType="image/png"/>
  <Override PartName="/word/media/rId3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converted from fully open access to a subscription model, including hybrid open access.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converted from fully open access to a subscription-based business model per year."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the following four major bibliometric databases: Crossref, a large DOI registration agency for scholarly works, Scopus, Journal Citation Report (JCR) listing journals indexed in the Web of Science, and MEDLINE. This analysis is based at the journal-level by matching ISSN variants. We used the most current available journal lists and search indexes at the time of our analysis in January 2019.</w:t>
      </w:r>
    </w:p>
    <w:p>
      <w:pPr>
        <w:pStyle w:val="BodyText"/>
      </w:pPr>
      <w:r>
        <w:t xml:space="preserve">In total, we found 147 journals that were indexed by at least one bibliometric databases examined, covering 97% of the journals in our study. Figure presents the number of reverse-flip journals that were indexed by each database together with the intersections with the other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yearly article volume varies considerably (see Figure 4), ranging from 10 to 638 with half of the journals publishing 56 or fewer articles per year (see Table 1).</w:t>
      </w:r>
    </w:p>
    <w:p>
      <w:pPr>
        <w:pStyle w:val="CaptionedFigure"/>
      </w:pPr>
      <w:r>
        <w:drawing>
          <wp:inline>
            <wp:extent cx="5334000" cy="3295226"/>
            <wp:effectExtent b="0" l="0" r="0" t="0"/>
            <wp:docPr descr="Histogram of average journal size in terms of yearly article volume published. Red dashed line represents the median, yellow dashed lined the mean value of the distribution."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average journal size in terms of yearly article volume published. Red dashed line represents the median, yellow dashed lined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PSM</w:t>
            </w:r>
          </w:p>
        </w:tc>
        <w:tc>
          <w:p>
            <w:pPr>
              <w:pStyle w:val="Compact"/>
              <w:jc w:val="right"/>
            </w:pPr>
            <w:r>
              <w:t xml:space="preserve">52</w:t>
            </w:r>
          </w:p>
        </w:tc>
        <w:tc>
          <w:p>
            <w:pPr>
              <w:pStyle w:val="Compact"/>
              <w:jc w:val="right"/>
            </w:pPr>
            <w:r>
              <w:t xml:space="preserve">34</w:t>
            </w:r>
          </w:p>
        </w:tc>
      </w:tr>
      <w:tr>
        <w:tc>
          <w:p>
            <w:pPr>
              <w:pStyle w:val="Compact"/>
              <w:jc w:val="left"/>
            </w:pPr>
            <w:r>
              <w:t xml:space="preserve">Health</w:t>
            </w:r>
          </w:p>
        </w:tc>
        <w:tc>
          <w:p>
            <w:pPr>
              <w:pStyle w:val="Compact"/>
              <w:jc w:val="right"/>
            </w:pPr>
            <w:r>
              <w:t xml:space="preserve">39</w:t>
            </w:r>
          </w:p>
        </w:tc>
        <w:tc>
          <w:p>
            <w:pPr>
              <w:pStyle w:val="Compact"/>
              <w:jc w:val="right"/>
            </w:pPr>
            <w:r>
              <w:t xml:space="preserve">26</w:t>
            </w:r>
          </w:p>
        </w:tc>
      </w:tr>
      <w:tr>
        <w:tc>
          <w:p>
            <w:pPr>
              <w:pStyle w:val="Compact"/>
              <w:jc w:val="left"/>
            </w:pPr>
            <w:r>
              <w:t xml:space="preserve">SSH</w:t>
            </w:r>
          </w:p>
        </w:tc>
        <w:tc>
          <w:p>
            <w:pPr>
              <w:pStyle w:val="Compact"/>
              <w:jc w:val="right"/>
            </w:pPr>
            <w:r>
              <w:t xml:space="preserve">38</w:t>
            </w:r>
          </w:p>
        </w:tc>
        <w:tc>
          <w:p>
            <w:pPr>
              <w:pStyle w:val="Compact"/>
              <w:jc w:val="right"/>
            </w:pPr>
            <w:r>
              <w:t xml:space="preserve">25</w:t>
            </w:r>
          </w:p>
        </w:tc>
      </w:tr>
      <w:tr>
        <w:tc>
          <w:p>
            <w:pPr>
              <w:pStyle w:val="Compact"/>
              <w:jc w:val="left"/>
            </w:pPr>
            <w:r>
              <w:t xml:space="preserve">LS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does-currently-publish-the-journals"/>
      <w:r>
        <w:t xml:space="preserve">d) Under which publisher did the reverse-flip occur? Who does currently publish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post-flip and current top publishers based on the number of journals that were converted from fully OA to subscription access. These six publishers - Elsevier, Springer Nature, Taylor &amp; Francis, De Gruyter, Brill and Wiley - comprised 105 journals at the time of the reverse-flip and 104 at the time of the most recent volume, representing around 70% of all reverse-flips journals investigated. The remaining publishers are categorized as</w:t>
      </w:r>
      <w:r>
        <w:t xml:space="preserve"> </w:t>
      </w:r>
      <w:r>
        <w:t xml:space="preserve">“</w:t>
      </w:r>
      <w:r>
        <w:t xml:space="preserve">Other</w:t>
      </w:r>
      <w:r>
        <w:t xml:space="preserve">”</w:t>
      </w:r>
      <w:r>
        <w:t xml:space="preserve">. The distribution of reverse flips across publishers resembles the general conditions of the scholarly publishing market at-large, which is also dominated by large commercial publishers like Elsevier, Springer Nature, Taylor and Francis, and Wiley.</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reversely-flipped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academic-institutions"/>
      <w:r>
        <w:t xml:space="preserve">e) How many journals have been associated with scholarly societies or academic institutions?</w:t>
      </w:r>
      <w:bookmarkEnd w:id="30"/>
    </w:p>
    <w:p>
      <w:pPr>
        <w:pStyle w:val="FirstParagraph"/>
      </w:pPr>
      <w:r>
        <w:t xml:space="preserve">Our dataset contains information about whether reverse-flipped journals were related to scholarly societes and academic institutions. We obtained 107 (70 %) reverse-flip journals that were either published together with a scholarly society (N = 59) or at an academic institution (N = 48).</w:t>
      </w:r>
    </w:p>
    <w:p>
      <w:pPr>
        <w:pStyle w:val="BodyText"/>
      </w:pPr>
      <w:r>
        <w:t xml:space="preserve">Figure presents the extent to which journals were related to scholarly societies or academic institutions at the time of the reverse-flip. It shows that the majority of reverse-flip journals from major publishers were affilated with professional associations and other research organsiations.</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2" w:name="f-how-old-were-the-journals-at-the-time-of-the-reverse-flip"/>
      <w:r>
        <w:t xml:space="preserve">f) How old were the journals at the time of the reverse flip?</w:t>
      </w:r>
      <w:bookmarkEnd w:id="32"/>
    </w:p>
    <w:p>
      <w:pPr>
        <w:pStyle w:val="FirstParagraph"/>
      </w:pPr>
      <w:r>
        <w:t xml:space="preserve">Table provides summary statistics about the journal age at the year of the reverse flip. Large age differences can be observed, ranging from one year of existences to 124 years. Around 43%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number of journals converted from fully open access to a subscription-based business model per year grouped by journal age when the reverse flip happened.</w:t>
      </w:r>
    </w:p>
    <w:p>
      <w:pPr>
        <w:pStyle w:val="CaptionedFigure"/>
      </w:pPr>
      <w:r>
        <w:drawing>
          <wp:inline>
            <wp:extent cx="5334000" cy="3295226"/>
            <wp:effectExtent b="0" l="0" r="0" t="0"/>
            <wp:docPr descr="Number of journals converted from fully open access to a subscription-based business model per year, grouped by journal age at time of reverse flip."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33"/>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grouped by journal age at time of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2019-01-27T11:04:05Z</dcterms:created>
  <dcterms:modified xsi:type="dcterms:W3CDTF">2019-01-27T11:04:05Z</dcterms:modified>
</cp:coreProperties>
</file>