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Reverse</w:t>
      </w:r>
      <w:r>
        <w:t xml:space="preserve"> </w:t>
      </w:r>
      <w:r>
        <w:t xml:space="preserve">Flips</w:t>
      </w:r>
    </w:p>
    <w:p>
      <w:pPr>
        <w:pStyle w:val="FirstParagraph"/>
      </w:pPr>
      <w:r>
        <w:t xml:space="preserve">This section presents the key summary statistics of our dataset. In total, we were able to identify 159 journals that converted from fully open access to a subscription-based business model including hybrid open access. Figure shows the year when this switch occurred. While the earliest reverse flip happened in 2004 according to our sample, the majority of journals changed their business model from 2013 onward (N = 96).</w:t>
      </w:r>
    </w:p>
    <w:p>
      <w:pPr>
        <w:pStyle w:val="CaptionedFigure"/>
      </w:pPr>
      <w:r>
        <w:drawing>
          <wp:inline>
            <wp:extent cx="5334000" cy="3295226"/>
            <wp:effectExtent b="0" l="0" r="0" t="0"/>
            <wp:docPr descr="Number of journals converted from fully open access to a subscription-based business model per year. For three journals, no date information could be obtained." title="" id="1" name="Picture"/>
            <a:graphic>
              <a:graphicData uri="http://schemas.openxmlformats.org/drawingml/2006/picture">
                <pic:pic>
                  <pic:nvPicPr>
                    <pic:cNvPr descr="results_files/figure-docx/time-1.png" id="0" name="Picture"/>
                    <pic:cNvPicPr>
                      <a:picLocks noChangeArrowheads="1" noChangeAspect="1"/>
                    </pic:cNvPicPr>
                  </pic:nvPicPr>
                  <pic:blipFill>
                    <a:blip r:embed="rId20"/>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converted from fully open access to a subscription-based business model per year. For three journals, no date information could be obtained.</w:t>
      </w:r>
    </w:p>
    <w:p>
      <w:pPr>
        <w:pStyle w:val="BodyText"/>
      </w:pPr>
      <w:r>
        <w:t xml:space="preserve">The dataset also includes information about the launch year of the journal, suggesting that not all journals in our sample were born online journals. In fact, around 42% (N = 66) of all journals found started before 1990.</w:t>
      </w:r>
    </w:p>
    <w:p>
      <w:pPr>
        <w:pStyle w:val="BodyText"/>
      </w:pPr>
      <w:r>
        <w:t xml:space="preserve">Discipline by journal age at the time of reverse flip, shown as proportion of the total number of reverse flip journals in the dataset. The colored areas represent the distribution of journals per Discipline.</w:t>
      </w:r>
    </w:p>
    <w:p>
      <w:pPr>
        <w:pStyle w:val="CaptionedFigure"/>
      </w:pPr>
      <w:r>
        <w:drawing>
          <wp:inline>
            <wp:extent cx="5334000" cy="3295226"/>
            <wp:effectExtent b="0" l="0" r="0" t="0"/>
            <wp:docPr descr="Discipline by journal age at the time of reverse flip, shown as proportion of the total number of reverse flip journals in the dataset. The colored areas represent the distribution of journals per Discipline." title="" id="1" name="Picture"/>
            <a:graphic>
              <a:graphicData uri="http://schemas.openxmlformats.org/drawingml/2006/picture">
                <pic:pic>
                  <pic:nvPicPr>
                    <pic:cNvPr descr="results_files/figure-docx/unnamed-chunk-2-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Discipline by journal age at the time of reverse flip, shown as proportion of the total number of reverse flip journals in the dataset. The colored areas represent the distribution of journals per Discipline.</w:t>
      </w:r>
    </w:p>
    <w:p>
      <w:pPr>
        <w:pStyle w:val="Heading2"/>
      </w:pPr>
      <w:bookmarkStart w:id="22" w:name="breakdown-by-indexing"/>
      <w:r>
        <w:t xml:space="preserve">Breakdown by indexing</w:t>
      </w:r>
      <w:bookmarkEnd w:id="22"/>
    </w:p>
    <w:p>
      <w:pPr>
        <w:pStyle w:val="FirstParagraph"/>
      </w:pPr>
      <w:r>
        <w:t xml:space="preserve">We investigated the indexing status of the reverserly flipped journals in large bibliometric databases. Table summarizes</w:t>
      </w:r>
    </w:p>
    <w:p>
      <w:pPr>
        <w:pStyle w:val="Heading2"/>
      </w:pPr>
      <w:bookmarkStart w:id="23" w:name="breakdown-by-publisher"/>
      <w:r>
        <w:t xml:space="preserve">Breakdown by publisher</w:t>
      </w:r>
      <w:bookmarkEnd w:id="23"/>
    </w:p>
    <w:p>
      <w:pPr>
        <w:pStyle w:val="FirstParagraph"/>
      </w:pPr>
      <w:r>
        <w:t xml:space="preserve">The dataset allows to analyse the extent of reverse flips across publishers. For this aim, publisher names for every journal were obtained using Crossref, and if not available, added manually. In case of a change of publishing house (To Do, describe the dynamics in methods section and, if possible, quantify it), the current publisher name was used. In total, 46 different publishing houses with reversely flipped journals are included in our dataset.</w:t>
      </w:r>
    </w:p>
    <w:p>
      <w:pPr>
        <w:pStyle w:val="BodyText"/>
      </w:pPr>
      <w:r>
        <w:t xml:space="preserve">Table shows the top 5 publishers based on the number of journals in their subscription-based portfolio that were converted from fully open access. These five publishers comprise a total 103 journals, representing 65% of all journals found. The remaining 41 publishers are represented in the category</w:t>
      </w:r>
      <w:r>
        <w:t xml:space="preserve"> </w:t>
      </w:r>
      <w:r>
        <w:t xml:space="preserve">“</w:t>
      </w:r>
      <w:r>
        <w:t xml:space="preserve">Other</w:t>
      </w:r>
      <w:r>
        <w:t xml:space="preserve">”</w:t>
      </w:r>
      <w:r>
        <w:t xml:space="preserve">. The extent of reverse flips across publishers reflects roughly the general market shares in scholarly publishing where the large commercial publishers Elsevier BV, Springer Nature, Informa UK Limited and Wiley also dominate.</w:t>
      </w:r>
    </w:p>
    <w:p>
      <w:pPr>
        <w:pStyle w:val="TableCaption"/>
      </w:pPr>
      <w:r>
        <w:t xml:space="preserve">Top 5 publishers based on number of journals converted from from fully open access to a subscription-based business model</w:t>
      </w:r>
    </w:p>
    <w:tbl>
      <w:tblPr>
        <w:tblStyle w:val="Table"/>
        <w:tblW w:type="pct" w:w="0.0"/>
        <w:tblLook w:firstRow="1"/>
        <w:tblCaption w:val="Top 5 publishers based on number of journals converted from from fully open access to a subscription-based business model"/>
      </w:tblPr>
      <w:tblGrid/>
      <w:tr>
        <w:trPr>
          <w:cnfStyle w:firstRow="1"/>
        </w:trPr>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Reversely flipped journals</w:t>
            </w:r>
          </w:p>
        </w:tc>
        <w:tc>
          <w:tcPr>
            <w:tcBorders>
              <w:bottom w:val="single"/>
            </w:tcBorders>
            <w:vAlign w:val="bottom"/>
          </w:tcPr>
          <w:p>
            <w:pPr>
              <w:pStyle w:val="Compact"/>
              <w:jc w:val="right"/>
            </w:pPr>
            <w:r>
              <w:t xml:space="preserve">Proportion (in%)</w:t>
            </w:r>
          </w:p>
        </w:tc>
      </w:tr>
      <w:tr>
        <w:tc>
          <w:p>
            <w:pPr>
              <w:pStyle w:val="Compact"/>
              <w:jc w:val="left"/>
            </w:pPr>
            <w:r>
              <w:t xml:space="preserve">Springer Nature</w:t>
            </w:r>
          </w:p>
        </w:tc>
        <w:tc>
          <w:p>
            <w:pPr>
              <w:pStyle w:val="Compact"/>
              <w:jc w:val="right"/>
            </w:pPr>
            <w:r>
              <w:t xml:space="preserve">41</w:t>
            </w:r>
          </w:p>
        </w:tc>
        <w:tc>
          <w:p>
            <w:pPr>
              <w:pStyle w:val="Compact"/>
              <w:jc w:val="right"/>
            </w:pPr>
            <w:r>
              <w:t xml:space="preserve">25.8</w:t>
            </w:r>
          </w:p>
        </w:tc>
      </w:tr>
      <w:tr>
        <w:tc>
          <w:p>
            <w:pPr>
              <w:pStyle w:val="Compact"/>
              <w:jc w:val="left"/>
            </w:pPr>
            <w:r>
              <w:t xml:space="preserve">Elsevier BV</w:t>
            </w:r>
          </w:p>
        </w:tc>
        <w:tc>
          <w:p>
            <w:pPr>
              <w:pStyle w:val="Compact"/>
              <w:jc w:val="right"/>
            </w:pPr>
            <w:r>
              <w:t xml:space="preserve">37</w:t>
            </w:r>
          </w:p>
        </w:tc>
        <w:tc>
          <w:p>
            <w:pPr>
              <w:pStyle w:val="Compact"/>
              <w:jc w:val="right"/>
            </w:pPr>
            <w:r>
              <w:t xml:space="preserve">23.3</w:t>
            </w:r>
          </w:p>
        </w:tc>
      </w:tr>
      <w:tr>
        <w:tc>
          <w:p>
            <w:pPr>
              <w:pStyle w:val="Compact"/>
              <w:jc w:val="left"/>
            </w:pPr>
            <w:r>
              <w:t xml:space="preserve">Informa UK Limited</w:t>
            </w:r>
          </w:p>
        </w:tc>
        <w:tc>
          <w:p>
            <w:pPr>
              <w:pStyle w:val="Compact"/>
              <w:jc w:val="right"/>
            </w:pPr>
            <w:r>
              <w:t xml:space="preserve">13</w:t>
            </w:r>
          </w:p>
        </w:tc>
        <w:tc>
          <w:p>
            <w:pPr>
              <w:pStyle w:val="Compact"/>
              <w:jc w:val="right"/>
            </w:pPr>
            <w:r>
              <w:t xml:space="preserve">8.2</w:t>
            </w:r>
          </w:p>
        </w:tc>
      </w:tr>
      <w:tr>
        <w:tc>
          <w:p>
            <w:pPr>
              <w:pStyle w:val="Compact"/>
              <w:jc w:val="left"/>
            </w:pPr>
            <w:r>
              <w:t xml:space="preserve">Walter de Gruyter GmbH</w:t>
            </w:r>
          </w:p>
        </w:tc>
        <w:tc>
          <w:p>
            <w:pPr>
              <w:pStyle w:val="Compact"/>
              <w:jc w:val="right"/>
            </w:pPr>
            <w:r>
              <w:t xml:space="preserve">7</w:t>
            </w:r>
          </w:p>
        </w:tc>
        <w:tc>
          <w:p>
            <w:pPr>
              <w:pStyle w:val="Compact"/>
              <w:jc w:val="right"/>
            </w:pPr>
            <w:r>
              <w:t xml:space="preserve">4.4</w:t>
            </w:r>
          </w:p>
        </w:tc>
      </w:tr>
      <w:tr>
        <w:tc>
          <w:p>
            <w:pPr>
              <w:pStyle w:val="Compact"/>
              <w:jc w:val="left"/>
            </w:pPr>
            <w:r>
              <w:t xml:space="preserve">Wiley</w:t>
            </w:r>
          </w:p>
        </w:tc>
        <w:tc>
          <w:p>
            <w:pPr>
              <w:pStyle w:val="Compact"/>
              <w:jc w:val="right"/>
            </w:pPr>
            <w:r>
              <w:t xml:space="preserve">5</w:t>
            </w:r>
          </w:p>
        </w:tc>
        <w:tc>
          <w:p>
            <w:pPr>
              <w:pStyle w:val="Compact"/>
              <w:jc w:val="right"/>
            </w:pPr>
            <w:r>
              <w:t xml:space="preserve">3.1</w:t>
            </w:r>
          </w:p>
        </w:tc>
      </w:tr>
      <w:tr>
        <w:tc>
          <w:p>
            <w:pPr>
              <w:pStyle w:val="Compact"/>
              <w:jc w:val="left"/>
            </w:pPr>
            <w:r>
              <w:t xml:space="preserve">Other</w:t>
            </w:r>
          </w:p>
        </w:tc>
        <w:tc>
          <w:p>
            <w:pPr>
              <w:pStyle w:val="Compact"/>
              <w:jc w:val="right"/>
            </w:pPr>
            <w:r>
              <w:t xml:space="preserve">56</w:t>
            </w:r>
          </w:p>
        </w:tc>
        <w:tc>
          <w:p>
            <w:pPr>
              <w:pStyle w:val="Compact"/>
              <w:jc w:val="right"/>
            </w:pPr>
            <w:r>
              <w:t xml:space="preserve">35.2</w:t>
            </w:r>
          </w:p>
        </w:tc>
      </w:tr>
      <w:tr>
        <w:tc>
          <w:p>
            <w:pPr>
              <w:pStyle w:val="Compact"/>
              <w:jc w:val="left"/>
            </w:pPr>
            <w:r>
              <w:t xml:space="preserve">Total</w:t>
            </w:r>
          </w:p>
        </w:tc>
        <w:tc>
          <w:p>
            <w:pPr>
              <w:pStyle w:val="Compact"/>
              <w:jc w:val="right"/>
            </w:pPr>
            <w:r>
              <w:t xml:space="preserve">159</w:t>
            </w:r>
          </w:p>
        </w:tc>
        <w:tc>
          <w:p>
            <w:pPr>
              <w:pStyle w:val="Compact"/>
              <w:jc w:val="right"/>
            </w:pPr>
            <w:r>
              <w:t xml:space="preserve">100.0</w:t>
            </w:r>
          </w:p>
        </w:tc>
      </w:tr>
    </w:tbl>
    <w:p>
      <w:pPr>
        <w:pStyle w:val="Heading2"/>
      </w:pPr>
      <w:bookmarkStart w:id="24" w:name="breakdown-by-publication-volume"/>
      <w:r>
        <w:t xml:space="preserve">Breakdown by publication volume</w:t>
      </w:r>
      <w:bookmarkEnd w:id="24"/>
    </w:p>
    <w:p>
      <w:pPr>
        <w:pStyle w:val="FirstParagraph"/>
      </w:pPr>
      <w:r>
        <w:t xml:space="preserve">Using our dataset, we retrieved all Crossref indexed articles from 2000 onwards. Articles metadata from 142 journals were registered with Crossref. In total, these converted journals published 214,570 articles in this period.</w:t>
      </w:r>
    </w:p>
    <w:p>
      <w:pPr>
        <w:pStyle w:val="BodyText"/>
      </w:pPr>
      <w:r>
        <w:t xml:space="preserve">Publication volume across journals varies.</w:t>
      </w:r>
    </w:p>
    <w:p>
      <w:pPr>
        <w:pStyle w:val="BodyText"/>
      </w:pPr>
      <w:r>
        <w:t xml:space="preserve">Comparing yearly article volumes two years before and two years after the flip reveals little change. The median article volume increased marginaly from 53 to 60 articles. Figure illustrate the distribution before and after the flip.</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7-1.png" id="0" name="Picture"/>
                    <pic:cNvPicPr>
                      <a:picLocks noChangeArrowheads="1" noChangeAspect="1"/>
                    </pic:cNvPicPr>
                  </pic:nvPicPr>
                  <pic:blipFill>
                    <a:blip r:embed="rId25"/>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2"/>
      </w:pPr>
      <w:bookmarkStart w:id="26" w:name="breakdown-by-subject"/>
      <w:r>
        <w:t xml:space="preserve">Breakdown by subject</w:t>
      </w:r>
      <w:bookmarkEnd w:id="26"/>
    </w:p>
    <w:p>
      <w:pPr>
        <w:pStyle w:val="Heading2"/>
      </w:pPr>
      <w:bookmarkStart w:id="27" w:name="breakdown-by-citation-impact"/>
      <w:r>
        <w:t xml:space="preserve">Breakdown by citation impact</w:t>
      </w:r>
      <w:bookmarkEnd w:id="27"/>
    </w:p>
    <w:p>
      <w:pPr>
        <w:pStyle w:val="FirstParagraph"/>
      </w:pPr>
      <w:r>
        <w:t xml:space="preserve">To investigate whether the citation impact of a journal changed after the journal was converted to a toll-access business model, we used the source normalized impact per paper (SNIP) indicator from the CWTS. We were able to match 123 journals. Figure illustrates the SNIP distribution of reverse-flip-journals two years before and after the conversion. The latest SNIP values were reported for 2017. Accordingly, only journals where the flip happened in 2015 or earlier were taken into account (N = 82).</w:t>
      </w:r>
    </w:p>
    <w:p>
      <w:pPr>
        <w:pStyle w:val="BodyText"/>
      </w:pPr>
      <w:r>
        <w:t xml:space="preserve">Figure suggests that there is no statistical difference on SNIP values before and after the business model change.</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9-1.png" id="0" name="Picture"/>
                    <pic:cNvPicPr>
                      <a:picLocks noChangeArrowheads="1" noChangeAspect="1"/>
                    </pic:cNvPicPr>
                  </pic:nvPicPr>
                  <pic:blipFill>
                    <a:blip r:embed="rId28"/>
                    <a:stretch>
                      <a:fillRect/>
                    </a:stretch>
                  </pic:blipFill>
                  <pic:spPr bwMode="auto">
                    <a:xfrm>
                      <a:off x="0" y="0"/>
                      <a:ext cx="5334000" cy="329522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Reverse Flips</dc:title>
  <dc:creator/>
  <cp:keywords/>
  <dcterms:created xsi:type="dcterms:W3CDTF">2018-12-04T14:44:52Z</dcterms:created>
  <dcterms:modified xsi:type="dcterms:W3CDTF">2018-12-04T14:44:52Z</dcterms:modified>
</cp:coreProperties>
</file>