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6.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Vanished</w:t>
      </w:r>
      <w:r>
        <w:t xml:space="preserve"> </w:t>
      </w:r>
      <w:r>
        <w:t xml:space="preserve">Journals</w:t>
      </w:r>
    </w:p>
    <w:p>
      <w:pPr>
        <w:pStyle w:val="Heading3"/>
      </w:pPr>
      <w:bookmarkStart w:id="20" w:name="Xfed37f8eb3ab0ffdbbcb96e0147782dfd15f8e1"/>
      <w:r>
        <w:t xml:space="preserve">For how long were the journals actively publishing?</w:t>
      </w:r>
      <w:bookmarkEnd w:id="20"/>
    </w:p>
    <w:p>
      <w:pPr>
        <w:pStyle w:val="FirstParagraph"/>
      </w:pPr>
      <w:r>
        <w:t xml:space="preserve">We determined 193 fully open access journals that vanished from the web between 2000 and 2018. Figure 1 presents the life-span of these ceased journals. The majority of journals from our sample stopped actively publishing during 2010 and 2018 (N = 145).</w:t>
      </w:r>
    </w:p>
    <w:p>
      <w:pPr>
        <w:pStyle w:val="CaptionedFigure"/>
      </w:pPr>
      <w:r>
        <w:drawing>
          <wp:inline>
            <wp:extent cx="5334000" cy="3295226"/>
            <wp:effectExtent b="0" l="0" r="0" t="0"/>
            <wp:docPr descr="Publication history of vanished fully open access journals. Each line represents a journal. The line ranges represent the time period between the first and the last year of publication. Lines are ordered by the last year of publication per Journal. X-Axis is limited to the start year 1990." title="" id="1" name="Picture"/>
            <a:graphic>
              <a:graphicData uri="http://schemas.openxmlformats.org/drawingml/2006/picture">
                <pic:pic>
                  <pic:nvPicPr>
                    <pic:cNvPr descr="results_files/figure-docx/unnamed-chunk-35-1.png" id="0" name="Picture"/>
                    <pic:cNvPicPr>
                      <a:picLocks noChangeArrowheads="1" noChangeAspect="1"/>
                    </pic:cNvPicPr>
                  </pic:nvPicPr>
                  <pic:blipFill>
                    <a:blip r:embed="rId21"/>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Publication history of vanished fully open access journals. Each line represents a journal. The line ranges represent the time period between the first and the last year of publication. Lines are ordered by the last year of publication per Journal. X-Axis is limited to the start year 1990.</w:t>
      </w:r>
    </w:p>
    <w:p>
      <w:pPr>
        <w:pStyle w:val="BodyText"/>
      </w:pPr>
      <w:r>
        <w:t xml:space="preserve">On average, journals were active for around 8 years. While we observed journals with a long history of publication, the majority of journals actively published five or less yearly issues (Median = 6). Among these journals are the life-science journal</w:t>
      </w:r>
      <w:r>
        <w:t xml:space="preserve"> </w:t>
      </w:r>
      <w:r>
        <w:t xml:space="preserve">“</w:t>
      </w:r>
      <w:r>
        <w:t xml:space="preserve">Annales Universitatis Mariae Curie-Sklodowska - Sectio D. Medicina</w:t>
      </w:r>
      <w:r>
        <w:t xml:space="preserve">”</w:t>
      </w:r>
      <w:r>
        <w:t xml:space="preserve"> </w:t>
      </w:r>
      <w:r>
        <w:t xml:space="preserve">that was actively publishing between 1946 and 2010 and the</w:t>
      </w:r>
      <w:r>
        <w:t xml:space="preserve"> </w:t>
      </w:r>
      <w:r>
        <w:t xml:space="preserve">“</w:t>
      </w:r>
      <w:r>
        <w:t xml:space="preserve">Durham Anthropological Journal</w:t>
      </w:r>
      <w:r>
        <w:t xml:space="preserve">”</w:t>
      </w:r>
      <w:r>
        <w:t xml:space="preserve"> </w:t>
      </w:r>
      <w:r>
        <w:t xml:space="preserve">(publication period: 1970 – 2013).</w:t>
      </w:r>
    </w:p>
    <w:p>
      <w:pPr>
        <w:pStyle w:val="Heading4"/>
      </w:pPr>
      <w:bookmarkStart w:id="22" w:name="table-figure-2"/>
      <w:r>
        <w:t xml:space="preserve">Table Figure 2</w:t>
      </w:r>
      <w:bookmarkEnd w:id="22"/>
    </w:p>
    <w:tbl>
      <w:tblPr>
        <w:tblStyle w:val="Table"/>
        <w:tblW w:type="pct" w:w="0.0"/>
        <w:tblLook w:firstRow="1"/>
      </w:tblPr>
      <w:tblGrid/>
      <w:tr>
        <w:trPr>
          <w:cnfStyle w:firstRow="1"/>
        </w:trPr>
        <w:tc>
          <w:tcPr>
            <w:tcBorders>
              <w:bottom w:val="single"/>
            </w:tcBorders>
            <w:vAlign w:val="bottom"/>
          </w:tcPr>
          <w:p>
            <w:pPr>
              <w:pStyle w:val="Compact"/>
              <w:jc w:val="left"/>
            </w:pPr>
            <w:r>
              <w:t xml:space="preserve">Last publication year</w:t>
            </w:r>
          </w:p>
        </w:tc>
        <w:tc>
          <w:tcPr>
            <w:tcBorders>
              <w:bottom w:val="single"/>
            </w:tcBorders>
            <w:vAlign w:val="bottom"/>
          </w:tcPr>
          <w:p>
            <w:pPr>
              <w:pStyle w:val="Compact"/>
              <w:jc w:val="left"/>
            </w:pPr>
            <w:r>
              <w:t xml:space="preserve">Journals</w:t>
            </w:r>
          </w:p>
        </w:tc>
        <w:tc>
          <w:tcPr>
            <w:tcBorders>
              <w:bottom w:val="single"/>
            </w:tcBorders>
            <w:vAlign w:val="bottom"/>
          </w:tcPr>
          <w:p>
            <w:pPr>
              <w:pStyle w:val="Compact"/>
              <w:jc w:val="left"/>
            </w:pPr>
            <w:r>
              <w:t xml:space="preserve">Median Age</w:t>
            </w:r>
          </w:p>
        </w:tc>
        <w:tc>
          <w:tcPr>
            <w:tcBorders>
              <w:bottom w:val="single"/>
            </w:tcBorders>
            <w:vAlign w:val="bottom"/>
          </w:tcPr>
          <w:p>
            <w:pPr>
              <w:pStyle w:val="Compact"/>
              <w:jc w:val="left"/>
            </w:pPr>
            <w:r>
              <w:t xml:space="preserve">SD</w:t>
            </w:r>
          </w:p>
        </w:tc>
      </w:tr>
      <w:tr>
        <w:tc>
          <w:p>
            <w:pPr>
              <w:pStyle w:val="Compact"/>
              <w:jc w:val="left"/>
            </w:pPr>
            <w:r>
              <w:t xml:space="preserve">2001</w:t>
            </w:r>
          </w:p>
        </w:tc>
        <w:tc>
          <w:p>
            <w:pPr>
              <w:pStyle w:val="Compact"/>
              <w:jc w:val="left"/>
            </w:pPr>
            <w:r>
              <w:t xml:space="preserve">4</w:t>
            </w:r>
          </w:p>
        </w:tc>
        <w:tc>
          <w:p>
            <w:pPr>
              <w:pStyle w:val="Compact"/>
              <w:jc w:val="left"/>
            </w:pPr>
            <w:r>
              <w:t xml:space="preserve">3</w:t>
            </w:r>
          </w:p>
        </w:tc>
        <w:tc>
          <w:p>
            <w:pPr>
              <w:pStyle w:val="Compact"/>
              <w:jc w:val="left"/>
            </w:pPr>
            <w:r>
              <w:t xml:space="preserve">2.5</w:t>
            </w:r>
          </w:p>
        </w:tc>
      </w:tr>
      <w:tr>
        <w:tc>
          <w:p>
            <w:pPr>
              <w:pStyle w:val="Compact"/>
              <w:jc w:val="left"/>
            </w:pPr>
            <w:r>
              <w:t xml:space="preserve">2002</w:t>
            </w:r>
          </w:p>
        </w:tc>
        <w:tc>
          <w:p>
            <w:pPr>
              <w:pStyle w:val="Compact"/>
              <w:jc w:val="left"/>
            </w:pPr>
            <w:r>
              <w:t xml:space="preserve">5</w:t>
            </w:r>
          </w:p>
        </w:tc>
        <w:tc>
          <w:p>
            <w:pPr>
              <w:pStyle w:val="Compact"/>
              <w:jc w:val="left"/>
            </w:pPr>
            <w:r>
              <w:t xml:space="preserve">7</w:t>
            </w:r>
          </w:p>
        </w:tc>
        <w:tc>
          <w:p>
            <w:pPr>
              <w:pStyle w:val="Compact"/>
              <w:jc w:val="left"/>
            </w:pPr>
            <w:r>
              <w:t xml:space="preserve">1.79</w:t>
            </w:r>
          </w:p>
        </w:tc>
      </w:tr>
      <w:tr>
        <w:tc>
          <w:p>
            <w:pPr>
              <w:pStyle w:val="Compact"/>
              <w:jc w:val="left"/>
            </w:pPr>
            <w:r>
              <w:t xml:space="preserve">2004</w:t>
            </w:r>
          </w:p>
        </w:tc>
        <w:tc>
          <w:p>
            <w:pPr>
              <w:pStyle w:val="Compact"/>
              <w:jc w:val="left"/>
            </w:pPr>
            <w:r>
              <w:t xml:space="preserve">5</w:t>
            </w:r>
          </w:p>
        </w:tc>
        <w:tc>
          <w:p>
            <w:pPr>
              <w:pStyle w:val="Compact"/>
              <w:jc w:val="left"/>
            </w:pPr>
            <w:r>
              <w:t xml:space="preserve">8</w:t>
            </w:r>
          </w:p>
        </w:tc>
        <w:tc>
          <w:p>
            <w:pPr>
              <w:pStyle w:val="Compact"/>
              <w:jc w:val="left"/>
            </w:pPr>
            <w:r>
              <w:t xml:space="preserve">2.55</w:t>
            </w:r>
          </w:p>
        </w:tc>
      </w:tr>
      <w:tr>
        <w:tc>
          <w:p>
            <w:pPr>
              <w:pStyle w:val="Compact"/>
              <w:jc w:val="left"/>
            </w:pPr>
            <w:r>
              <w:t xml:space="preserve">2005</w:t>
            </w:r>
          </w:p>
        </w:tc>
        <w:tc>
          <w:p>
            <w:pPr>
              <w:pStyle w:val="Compact"/>
              <w:jc w:val="left"/>
            </w:pPr>
            <w:r>
              <w:t xml:space="preserve">3</w:t>
            </w:r>
          </w:p>
        </w:tc>
        <w:tc>
          <w:p>
            <w:pPr>
              <w:pStyle w:val="Compact"/>
              <w:jc w:val="left"/>
            </w:pPr>
            <w:r>
              <w:t xml:space="preserve">3</w:t>
            </w:r>
          </w:p>
        </w:tc>
        <w:tc>
          <w:p>
            <w:pPr>
              <w:pStyle w:val="Compact"/>
              <w:jc w:val="left"/>
            </w:pPr>
            <w:r>
              <w:t xml:space="preserve">3.79</w:t>
            </w:r>
          </w:p>
        </w:tc>
      </w:tr>
      <w:tr>
        <w:tc>
          <w:p>
            <w:pPr>
              <w:pStyle w:val="Compact"/>
              <w:jc w:val="left"/>
            </w:pPr>
            <w:r>
              <w:t xml:space="preserve">2006</w:t>
            </w:r>
          </w:p>
        </w:tc>
        <w:tc>
          <w:p>
            <w:pPr>
              <w:pStyle w:val="Compact"/>
              <w:jc w:val="left"/>
            </w:pPr>
            <w:r>
              <w:t xml:space="preserve">4</w:t>
            </w:r>
          </w:p>
        </w:tc>
        <w:tc>
          <w:p>
            <w:pPr>
              <w:pStyle w:val="Compact"/>
              <w:jc w:val="left"/>
            </w:pPr>
            <w:r>
              <w:t xml:space="preserve">6</w:t>
            </w:r>
          </w:p>
        </w:tc>
        <w:tc>
          <w:p>
            <w:pPr>
              <w:pStyle w:val="Compact"/>
              <w:jc w:val="left"/>
            </w:pPr>
            <w:r>
              <w:t xml:space="preserve">4.55</w:t>
            </w:r>
          </w:p>
        </w:tc>
      </w:tr>
      <w:tr>
        <w:tc>
          <w:p>
            <w:pPr>
              <w:pStyle w:val="Compact"/>
              <w:jc w:val="left"/>
            </w:pPr>
            <w:r>
              <w:t xml:space="preserve">2007</w:t>
            </w:r>
          </w:p>
        </w:tc>
        <w:tc>
          <w:p>
            <w:pPr>
              <w:pStyle w:val="Compact"/>
              <w:jc w:val="left"/>
            </w:pPr>
            <w:r>
              <w:t xml:space="preserve">7</w:t>
            </w:r>
          </w:p>
        </w:tc>
        <w:tc>
          <w:p>
            <w:pPr>
              <w:pStyle w:val="Compact"/>
              <w:jc w:val="left"/>
            </w:pPr>
            <w:r>
              <w:t xml:space="preserve">5</w:t>
            </w:r>
          </w:p>
        </w:tc>
        <w:tc>
          <w:p>
            <w:pPr>
              <w:pStyle w:val="Compact"/>
              <w:jc w:val="left"/>
            </w:pPr>
            <w:r>
              <w:t xml:space="preserve">3.82</w:t>
            </w:r>
          </w:p>
        </w:tc>
      </w:tr>
      <w:tr>
        <w:tc>
          <w:p>
            <w:pPr>
              <w:pStyle w:val="Compact"/>
              <w:jc w:val="left"/>
            </w:pPr>
            <w:r>
              <w:t xml:space="preserve">2008</w:t>
            </w:r>
          </w:p>
        </w:tc>
        <w:tc>
          <w:p>
            <w:pPr>
              <w:pStyle w:val="Compact"/>
              <w:jc w:val="left"/>
            </w:pPr>
            <w:r>
              <w:t xml:space="preserve">10</w:t>
            </w:r>
          </w:p>
        </w:tc>
        <w:tc>
          <w:p>
            <w:pPr>
              <w:pStyle w:val="Compact"/>
              <w:jc w:val="left"/>
            </w:pPr>
            <w:r>
              <w:t xml:space="preserve">6.5</w:t>
            </w:r>
          </w:p>
        </w:tc>
        <w:tc>
          <w:p>
            <w:pPr>
              <w:pStyle w:val="Compact"/>
              <w:jc w:val="left"/>
            </w:pPr>
            <w:r>
              <w:t xml:space="preserve">4.1</w:t>
            </w:r>
          </w:p>
        </w:tc>
      </w:tr>
      <w:tr>
        <w:tc>
          <w:p>
            <w:pPr>
              <w:pStyle w:val="Compact"/>
              <w:jc w:val="left"/>
            </w:pPr>
            <w:r>
              <w:t xml:space="preserve">2009</w:t>
            </w:r>
          </w:p>
        </w:tc>
        <w:tc>
          <w:p>
            <w:pPr>
              <w:pStyle w:val="Compact"/>
              <w:jc w:val="left"/>
            </w:pPr>
            <w:r>
              <w:t xml:space="preserve">9</w:t>
            </w:r>
          </w:p>
        </w:tc>
        <w:tc>
          <w:p>
            <w:pPr>
              <w:pStyle w:val="Compact"/>
              <w:jc w:val="left"/>
            </w:pPr>
            <w:r>
              <w:t xml:space="preserve">4</w:t>
            </w:r>
          </w:p>
        </w:tc>
        <w:tc>
          <w:p>
            <w:pPr>
              <w:pStyle w:val="Compact"/>
              <w:jc w:val="left"/>
            </w:pPr>
            <w:r>
              <w:t xml:space="preserve">6.96</w:t>
            </w:r>
          </w:p>
        </w:tc>
      </w:tr>
      <w:tr>
        <w:tc>
          <w:p>
            <w:pPr>
              <w:pStyle w:val="Compact"/>
              <w:jc w:val="left"/>
            </w:pPr>
            <w:r>
              <w:t xml:space="preserve">2010</w:t>
            </w:r>
          </w:p>
        </w:tc>
        <w:tc>
          <w:p>
            <w:pPr>
              <w:pStyle w:val="Compact"/>
              <w:jc w:val="left"/>
            </w:pPr>
            <w:r>
              <w:t xml:space="preserve">27</w:t>
            </w:r>
          </w:p>
        </w:tc>
        <w:tc>
          <w:p>
            <w:pPr>
              <w:pStyle w:val="Compact"/>
              <w:jc w:val="left"/>
            </w:pPr>
            <w:r>
              <w:t xml:space="preserve">6</w:t>
            </w:r>
          </w:p>
        </w:tc>
        <w:tc>
          <w:p>
            <w:pPr>
              <w:pStyle w:val="Compact"/>
              <w:jc w:val="left"/>
            </w:pPr>
            <w:r>
              <w:t xml:space="preserve">12</w:t>
            </w:r>
          </w:p>
        </w:tc>
      </w:tr>
      <w:tr>
        <w:tc>
          <w:p>
            <w:pPr>
              <w:pStyle w:val="Compact"/>
              <w:jc w:val="left"/>
            </w:pPr>
            <w:r>
              <w:t xml:space="preserve">2011</w:t>
            </w:r>
          </w:p>
        </w:tc>
        <w:tc>
          <w:p>
            <w:pPr>
              <w:pStyle w:val="Compact"/>
              <w:jc w:val="left"/>
            </w:pPr>
            <w:r>
              <w:t xml:space="preserve">33</w:t>
            </w:r>
          </w:p>
        </w:tc>
        <w:tc>
          <w:p>
            <w:pPr>
              <w:pStyle w:val="Compact"/>
              <w:jc w:val="left"/>
            </w:pPr>
            <w:r>
              <w:t xml:space="preserve">6</w:t>
            </w:r>
          </w:p>
        </w:tc>
        <w:tc>
          <w:p>
            <w:pPr>
              <w:pStyle w:val="Compact"/>
              <w:jc w:val="left"/>
            </w:pPr>
            <w:r>
              <w:t xml:space="preserve">4.57</w:t>
            </w:r>
          </w:p>
        </w:tc>
      </w:tr>
      <w:tr>
        <w:tc>
          <w:p>
            <w:pPr>
              <w:pStyle w:val="Compact"/>
              <w:jc w:val="left"/>
            </w:pPr>
            <w:r>
              <w:t xml:space="preserve">2012</w:t>
            </w:r>
          </w:p>
        </w:tc>
        <w:tc>
          <w:p>
            <w:pPr>
              <w:pStyle w:val="Compact"/>
              <w:jc w:val="left"/>
            </w:pPr>
            <w:r>
              <w:t xml:space="preserve">23</w:t>
            </w:r>
          </w:p>
        </w:tc>
        <w:tc>
          <w:p>
            <w:pPr>
              <w:pStyle w:val="Compact"/>
              <w:jc w:val="left"/>
            </w:pPr>
            <w:r>
              <w:t xml:space="preserve">5</w:t>
            </w:r>
          </w:p>
        </w:tc>
        <w:tc>
          <w:p>
            <w:pPr>
              <w:pStyle w:val="Compact"/>
              <w:jc w:val="left"/>
            </w:pPr>
            <w:r>
              <w:t xml:space="preserve">4.37</w:t>
            </w:r>
          </w:p>
        </w:tc>
      </w:tr>
      <w:tr>
        <w:tc>
          <w:p>
            <w:pPr>
              <w:pStyle w:val="Compact"/>
              <w:jc w:val="left"/>
            </w:pPr>
            <w:r>
              <w:t xml:space="preserve">2013</w:t>
            </w:r>
          </w:p>
        </w:tc>
        <w:tc>
          <w:p>
            <w:pPr>
              <w:pStyle w:val="Compact"/>
              <w:jc w:val="left"/>
            </w:pPr>
            <w:r>
              <w:t xml:space="preserve">13</w:t>
            </w:r>
          </w:p>
        </w:tc>
        <w:tc>
          <w:p>
            <w:pPr>
              <w:pStyle w:val="Compact"/>
              <w:jc w:val="left"/>
            </w:pPr>
            <w:r>
              <w:t xml:space="preserve">7</w:t>
            </w:r>
          </w:p>
        </w:tc>
        <w:tc>
          <w:p>
            <w:pPr>
              <w:pStyle w:val="Compact"/>
              <w:jc w:val="left"/>
            </w:pPr>
            <w:r>
              <w:t xml:space="preserve">13</w:t>
            </w:r>
          </w:p>
        </w:tc>
      </w:tr>
      <w:tr>
        <w:tc>
          <w:p>
            <w:pPr>
              <w:pStyle w:val="Compact"/>
              <w:jc w:val="left"/>
            </w:pPr>
            <w:r>
              <w:t xml:space="preserve">2014</w:t>
            </w:r>
          </w:p>
        </w:tc>
        <w:tc>
          <w:p>
            <w:pPr>
              <w:pStyle w:val="Compact"/>
              <w:jc w:val="left"/>
            </w:pPr>
            <w:r>
              <w:t xml:space="preserve">14</w:t>
            </w:r>
          </w:p>
        </w:tc>
        <w:tc>
          <w:p>
            <w:pPr>
              <w:pStyle w:val="Compact"/>
              <w:jc w:val="left"/>
            </w:pPr>
            <w:r>
              <w:t xml:space="preserve">4</w:t>
            </w:r>
          </w:p>
        </w:tc>
        <w:tc>
          <w:p>
            <w:pPr>
              <w:pStyle w:val="Compact"/>
              <w:jc w:val="left"/>
            </w:pPr>
            <w:r>
              <w:t xml:space="preserve">3.2</w:t>
            </w:r>
          </w:p>
        </w:tc>
      </w:tr>
      <w:tr>
        <w:tc>
          <w:p>
            <w:pPr>
              <w:pStyle w:val="Compact"/>
              <w:jc w:val="left"/>
            </w:pPr>
            <w:r>
              <w:t xml:space="preserve">2015</w:t>
            </w:r>
          </w:p>
        </w:tc>
        <w:tc>
          <w:p>
            <w:pPr>
              <w:pStyle w:val="Compact"/>
              <w:jc w:val="left"/>
            </w:pPr>
            <w:r>
              <w:t xml:space="preserve">14</w:t>
            </w:r>
          </w:p>
        </w:tc>
        <w:tc>
          <w:p>
            <w:pPr>
              <w:pStyle w:val="Compact"/>
              <w:jc w:val="left"/>
            </w:pPr>
            <w:r>
              <w:t xml:space="preserve">6</w:t>
            </w:r>
          </w:p>
        </w:tc>
        <w:tc>
          <w:p>
            <w:pPr>
              <w:pStyle w:val="Compact"/>
              <w:jc w:val="left"/>
            </w:pPr>
            <w:r>
              <w:t xml:space="preserve">3.4</w:t>
            </w:r>
          </w:p>
        </w:tc>
      </w:tr>
      <w:tr>
        <w:tc>
          <w:p>
            <w:pPr>
              <w:pStyle w:val="Compact"/>
              <w:jc w:val="left"/>
            </w:pPr>
            <w:r>
              <w:t xml:space="preserve">2016</w:t>
            </w:r>
          </w:p>
        </w:tc>
        <w:tc>
          <w:p>
            <w:pPr>
              <w:pStyle w:val="Compact"/>
              <w:jc w:val="left"/>
            </w:pPr>
            <w:r>
              <w:t xml:space="preserve">9</w:t>
            </w:r>
          </w:p>
        </w:tc>
        <w:tc>
          <w:p>
            <w:pPr>
              <w:pStyle w:val="Compact"/>
              <w:jc w:val="left"/>
            </w:pPr>
            <w:r>
              <w:t xml:space="preserve">12</w:t>
            </w:r>
          </w:p>
        </w:tc>
        <w:tc>
          <w:p>
            <w:pPr>
              <w:pStyle w:val="Compact"/>
              <w:jc w:val="left"/>
            </w:pPr>
            <w:r>
              <w:t xml:space="preserve">5.87</w:t>
            </w:r>
          </w:p>
        </w:tc>
      </w:tr>
      <w:tr>
        <w:tc>
          <w:p>
            <w:pPr>
              <w:pStyle w:val="Compact"/>
              <w:jc w:val="left"/>
            </w:pPr>
            <w:r>
              <w:t xml:space="preserve">2017</w:t>
            </w:r>
          </w:p>
        </w:tc>
        <w:tc>
          <w:p>
            <w:pPr>
              <w:pStyle w:val="Compact"/>
              <w:jc w:val="left"/>
            </w:pPr>
            <w:r>
              <w:t xml:space="preserve">10</w:t>
            </w:r>
          </w:p>
        </w:tc>
        <w:tc>
          <w:p>
            <w:pPr>
              <w:pStyle w:val="Compact"/>
              <w:jc w:val="left"/>
            </w:pPr>
            <w:r>
              <w:t xml:space="preserve">10.5</w:t>
            </w:r>
          </w:p>
        </w:tc>
        <w:tc>
          <w:p>
            <w:pPr>
              <w:pStyle w:val="Compact"/>
              <w:jc w:val="left"/>
            </w:pPr>
            <w:r>
              <w:t xml:space="preserve">5.47</w:t>
            </w:r>
          </w:p>
        </w:tc>
      </w:tr>
      <w:tr>
        <w:tc>
          <w:p>
            <w:pPr>
              <w:pStyle w:val="Compact"/>
              <w:jc w:val="left"/>
            </w:pPr>
            <w:r>
              <w:t xml:space="preserve">2018</w:t>
            </w:r>
          </w:p>
        </w:tc>
        <w:tc>
          <w:p>
            <w:pPr>
              <w:pStyle w:val="Compact"/>
              <w:jc w:val="left"/>
            </w:pPr>
            <w:r>
              <w:t xml:space="preserve">2</w:t>
            </w:r>
          </w:p>
        </w:tc>
        <w:tc>
          <w:p>
            <w:pPr>
              <w:pStyle w:val="Compact"/>
              <w:jc w:val="left"/>
            </w:pPr>
            <w:r>
              <w:t xml:space="preserve">18</w:t>
            </w:r>
          </w:p>
        </w:tc>
        <w:tc>
          <w:p>
            <w:pPr>
              <w:pStyle w:val="Compact"/>
              <w:jc w:val="left"/>
            </w:pPr>
            <w:r>
              <w:t xml:space="preserve">18.38</w:t>
            </w:r>
          </w:p>
        </w:tc>
      </w:tr>
      <w:tr>
        <w:tc>
          <w:p>
            <w:pPr>
              <w:pStyle w:val="Compact"/>
              <w:jc w:val="left"/>
            </w:pPr>
            <w:r>
              <w:t xml:space="preserve">Total</w:t>
            </w:r>
          </w:p>
        </w:tc>
        <w:tc>
          <w:p>
            <w:pPr>
              <w:pStyle w:val="Compact"/>
              <w:jc w:val="left"/>
            </w:pPr>
            <w:r>
              <w:t xml:space="preserve">193</w:t>
            </w:r>
          </w:p>
        </w:tc>
        <w:tc>
          <w:p>
            <w:pPr>
              <w:pStyle w:val="Compact"/>
              <w:jc w:val="left"/>
            </w:pPr>
            <w:r>
              <w:t xml:space="preserve">6</w:t>
            </w:r>
          </w:p>
        </w:tc>
        <w:tc>
          <w:p>
            <w:pPr>
              <w:pStyle w:val="Compact"/>
              <w:jc w:val="left"/>
            </w:pPr>
            <w:r>
              <w:t xml:space="preserve">7.2</w:t>
            </w:r>
          </w:p>
        </w:tc>
      </w:tr>
    </w:tbl>
    <w:p>
      <w:pPr>
        <w:pStyle w:val="Heading3"/>
      </w:pPr>
      <w:bookmarkStart w:id="23" w:name="X2f854b6dfd56bc289e8c2f828fd089b345afb2e"/>
      <w:r>
        <w:t xml:space="preserve">What is the country and research discipline distribution of these journals?</w:t>
      </w:r>
      <w:bookmarkEnd w:id="23"/>
    </w:p>
    <w:p>
      <w:pPr>
        <w:pStyle w:val="FirstParagraph"/>
      </w:pPr>
      <w:r>
        <w:t xml:space="preserve">Figure 2 presents a breakdown of the journal’s life-span by academic discipline, highligthing that the life-span of journals slightly varies across displines. Furthermore, it shows that vanishing from the web was not limited to one field, but occured across disciplines. Around 51.8 % of journals belonged to the Social Sciences and Humanities domain (SSH), followed by Health Sciences (Health) (17.6 %), Physical Sciences and Mathematics (PSM) (17.1 %) and Life Sciences (13.5 %) .</w:t>
      </w:r>
    </w:p>
    <w:p>
      <w:pPr>
        <w:pStyle w:val="CaptionedFigure"/>
      </w:pPr>
      <w:r>
        <w:drawing>
          <wp:inline>
            <wp:extent cx="5334000" cy="3295226"/>
            <wp:effectExtent b="0" l="0" r="0" t="0"/>
            <wp:docPr descr="Life-span distribution of vanished fully open access journals across subject domains, in years. Each point represent a journal and its life-span." title="" id="1" name="Picture"/>
            <a:graphic>
              <a:graphicData uri="http://schemas.openxmlformats.org/drawingml/2006/picture">
                <pic:pic>
                  <pic:nvPicPr>
                    <pic:cNvPr descr="results_files/figure-docx/unnamed-chunk-38-1.png" id="0" name="Picture"/>
                    <pic:cNvPicPr>
                      <a:picLocks noChangeArrowheads="1" noChangeAspect="1"/>
                    </pic:cNvPicPr>
                  </pic:nvPicPr>
                  <pic:blipFill>
                    <a:blip r:embed="rId24"/>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Life-span distribution of vanished fully open access journals across subject domains, in years. Each point represent a journal and its life-span.</w:t>
      </w:r>
    </w:p>
    <w:p>
      <w:pPr>
        <w:pStyle w:val="Heading4"/>
      </w:pPr>
      <w:bookmarkStart w:id="25" w:name="table-figure-3"/>
      <w:r>
        <w:t xml:space="preserve">Table Figure 3</w:t>
      </w:r>
      <w:bookmarkEnd w:id="25"/>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Health</w:t>
            </w:r>
          </w:p>
        </w:tc>
        <w:tc>
          <w:tcPr>
            <w:tcBorders>
              <w:bottom w:val="single"/>
            </w:tcBorders>
            <w:vAlign w:val="bottom"/>
          </w:tcPr>
          <w:p>
            <w:pPr>
              <w:pStyle w:val="Compact"/>
              <w:jc w:val="left"/>
            </w:pPr>
            <w:r>
              <w:t xml:space="preserve">LS</w:t>
            </w:r>
          </w:p>
        </w:tc>
        <w:tc>
          <w:tcPr>
            <w:tcBorders>
              <w:bottom w:val="single"/>
            </w:tcBorders>
            <w:vAlign w:val="bottom"/>
          </w:tcPr>
          <w:p>
            <w:pPr>
              <w:pStyle w:val="Compact"/>
              <w:jc w:val="left"/>
            </w:pPr>
            <w:r>
              <w:t xml:space="preserve">PSM</w:t>
            </w:r>
          </w:p>
        </w:tc>
        <w:tc>
          <w:tcPr>
            <w:tcBorders>
              <w:bottom w:val="single"/>
            </w:tcBorders>
            <w:vAlign w:val="bottom"/>
          </w:tcPr>
          <w:p>
            <w:pPr>
              <w:pStyle w:val="Compact"/>
              <w:jc w:val="left"/>
            </w:pPr>
            <w:r>
              <w:t xml:space="preserve">SSH</w:t>
            </w:r>
          </w:p>
        </w:tc>
        <w:tc>
          <w:tcPr>
            <w:tcBorders>
              <w:bottom w:val="single"/>
            </w:tcBorders>
            <w:vAlign w:val="bottom"/>
          </w:tcPr>
          <w:p>
            <w:pPr>
              <w:pStyle w:val="Compact"/>
              <w:jc w:val="right"/>
            </w:pPr>
            <w:r>
              <w:t xml:space="preserve">Total</w:t>
            </w:r>
          </w:p>
        </w:tc>
      </w:tr>
      <w:tr>
        <w:tc>
          <w:p>
            <w:pPr>
              <w:pStyle w:val="Compact"/>
              <w:jc w:val="left"/>
            </w:pPr>
            <w:r>
              <w:t xml:space="preserve">Journals</w:t>
            </w:r>
          </w:p>
        </w:tc>
        <w:tc>
          <w:p>
            <w:pPr>
              <w:pStyle w:val="Compact"/>
              <w:jc w:val="left"/>
            </w:pPr>
            <w:r>
              <w:t xml:space="preserve">34</w:t>
            </w:r>
          </w:p>
        </w:tc>
        <w:tc>
          <w:p>
            <w:pPr>
              <w:pStyle w:val="Compact"/>
              <w:jc w:val="left"/>
            </w:pPr>
            <w:r>
              <w:t xml:space="preserve">26</w:t>
            </w:r>
          </w:p>
        </w:tc>
        <w:tc>
          <w:p>
            <w:pPr>
              <w:pStyle w:val="Compact"/>
              <w:jc w:val="left"/>
            </w:pPr>
            <w:r>
              <w:t xml:space="preserve">33</w:t>
            </w:r>
          </w:p>
        </w:tc>
        <w:tc>
          <w:p>
            <w:pPr>
              <w:pStyle w:val="Compact"/>
              <w:jc w:val="left"/>
            </w:pPr>
            <w:r>
              <w:t xml:space="preserve">100</w:t>
            </w:r>
          </w:p>
        </w:tc>
        <w:tc>
          <w:p>
            <w:pPr>
              <w:pStyle w:val="Compact"/>
              <w:jc w:val="right"/>
            </w:pPr>
            <w:r>
              <w:t xml:space="preserve">193.0</w:t>
            </w:r>
          </w:p>
        </w:tc>
      </w:tr>
      <w:tr>
        <w:tc>
          <w:p>
            <w:pPr>
              <w:pStyle w:val="Compact"/>
              <w:jc w:val="left"/>
            </w:pPr>
            <w:r>
              <w:t xml:space="preserve">Median Age</w:t>
            </w:r>
          </w:p>
        </w:tc>
        <w:tc>
          <w:p>
            <w:pPr>
              <w:pStyle w:val="Compact"/>
              <w:jc w:val="left"/>
            </w:pPr>
            <w:r>
              <w:t xml:space="preserve">5.0</w:t>
            </w:r>
          </w:p>
        </w:tc>
        <w:tc>
          <w:p>
            <w:pPr>
              <w:pStyle w:val="Compact"/>
              <w:jc w:val="left"/>
            </w:pPr>
            <w:r>
              <w:t xml:space="preserve">6.0</w:t>
            </w:r>
          </w:p>
        </w:tc>
        <w:tc>
          <w:p>
            <w:pPr>
              <w:pStyle w:val="Compact"/>
              <w:jc w:val="left"/>
            </w:pPr>
            <w:r>
              <w:t xml:space="preserve">5.0</w:t>
            </w:r>
          </w:p>
        </w:tc>
        <w:tc>
          <w:p>
            <w:pPr>
              <w:pStyle w:val="Compact"/>
              <w:jc w:val="left"/>
            </w:pPr>
            <w:r>
              <w:t xml:space="preserve">6.5</w:t>
            </w:r>
          </w:p>
        </w:tc>
        <w:tc>
          <w:p>
            <w:pPr>
              <w:pStyle w:val="Compact"/>
              <w:jc w:val="right"/>
            </w:pPr>
            <w:r>
              <w:t xml:space="preserve">6.0</w:t>
            </w:r>
          </w:p>
        </w:tc>
      </w:tr>
      <w:tr>
        <w:tc>
          <w:p>
            <w:pPr>
              <w:pStyle w:val="Compact"/>
              <w:jc w:val="left"/>
            </w:pPr>
            <w:r>
              <w:t xml:space="preserve">SD</w:t>
            </w:r>
          </w:p>
        </w:tc>
        <w:tc>
          <w:p>
            <w:pPr>
              <w:pStyle w:val="Compact"/>
              <w:jc w:val="left"/>
            </w:pPr>
            <w:r>
              <w:t xml:space="preserve">10.95</w:t>
            </w:r>
          </w:p>
        </w:tc>
        <w:tc>
          <w:p>
            <w:pPr>
              <w:pStyle w:val="Compact"/>
              <w:jc w:val="left"/>
            </w:pPr>
            <w:r>
              <w:t xml:space="preserve">3.98</w:t>
            </w:r>
          </w:p>
        </w:tc>
        <w:tc>
          <w:p>
            <w:pPr>
              <w:pStyle w:val="Compact"/>
              <w:jc w:val="left"/>
            </w:pPr>
            <w:r>
              <w:t xml:space="preserve">5.02</w:t>
            </w:r>
          </w:p>
        </w:tc>
        <w:tc>
          <w:p>
            <w:pPr>
              <w:pStyle w:val="Compact"/>
              <w:jc w:val="left"/>
            </w:pPr>
            <w:r>
              <w:t xml:space="preserve">6.90</w:t>
            </w:r>
          </w:p>
        </w:tc>
        <w:tc>
          <w:p>
            <w:pPr>
              <w:pStyle w:val="Compact"/>
              <w:jc w:val="right"/>
            </w:pPr>
            <w:r>
              <w:t xml:space="preserve">7.2</w:t>
            </w:r>
          </w:p>
        </w:tc>
      </w:tr>
    </w:tbl>
    <w:p>
      <w:pPr>
        <w:pStyle w:val="BodyText"/>
      </w:pPr>
      <w:r>
        <w:t xml:space="preserve">Overall, journals originate from 50 distinct countries. Figure 3 presents the geographic distribution of the vanished journals in terms of World Bank regions, highlighting that the phenomena is global. Yet, subject-specific differences can be observed. While in Northern American and European regions mostly open access journals from the social sciences and humanities vanished, in the region Southern Asia life-science journals were well represented.</w:t>
      </w:r>
    </w:p>
    <w:p>
      <w:pPr>
        <w:pStyle w:val="BodyText"/>
      </w:pPr>
      <w:r>
        <w:drawing>
          <wp:inline>
            <wp:extent cx="5334000" cy="3295226"/>
            <wp:effectExtent b="0" l="0" r="0" t="0"/>
            <wp:docPr descr="" title="" id="1" name="Picture"/>
            <a:graphic>
              <a:graphicData uri="http://schemas.openxmlformats.org/drawingml/2006/picture">
                <pic:pic>
                  <pic:nvPicPr>
                    <pic:cNvPr descr="results_files/figure-docx/unnamed-chunk-40-1.png" id="0" name="Picture"/>
                    <pic:cNvPicPr>
                      <a:picLocks noChangeArrowheads="1" noChangeAspect="1"/>
                    </pic:cNvPicPr>
                  </pic:nvPicPr>
                  <pic:blipFill>
                    <a:blip r:embed="rId26"/>
                    <a:stretch>
                      <a:fillRect/>
                    </a:stretch>
                  </pic:blipFill>
                  <pic:spPr bwMode="auto">
                    <a:xfrm>
                      <a:off x="0" y="0"/>
                      <a:ext cx="5334000" cy="3295226"/>
                    </a:xfrm>
                    <a:prstGeom prst="rect">
                      <a:avLst/>
                    </a:prstGeom>
                    <a:noFill/>
                    <a:ln w="9525">
                      <a:noFill/>
                      <a:headEnd/>
                      <a:tailEnd/>
                    </a:ln>
                  </pic:spPr>
                </pic:pic>
              </a:graphicData>
            </a:graphic>
          </wp:inline>
        </w:drawing>
      </w:r>
    </w:p>
    <w:p>
      <w:pPr>
        <w:pStyle w:val="Heading3"/>
      </w:pPr>
      <w:bookmarkStart w:id="27" w:name="table-figure-4"/>
      <w:r>
        <w:t xml:space="preserve">Table Figure 4</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region</w:t>
            </w:r>
          </w:p>
        </w:tc>
        <w:tc>
          <w:tcPr>
            <w:tcBorders>
              <w:bottom w:val="single"/>
            </w:tcBorders>
            <w:vAlign w:val="bottom"/>
          </w:tcPr>
          <w:p>
            <w:pPr>
              <w:pStyle w:val="Compact"/>
              <w:jc w:val="right"/>
            </w:pPr>
            <w:r>
              <w:t xml:space="preserve">Health</w:t>
            </w:r>
          </w:p>
        </w:tc>
        <w:tc>
          <w:tcPr>
            <w:tcBorders>
              <w:bottom w:val="single"/>
            </w:tcBorders>
            <w:vAlign w:val="bottom"/>
          </w:tcPr>
          <w:p>
            <w:pPr>
              <w:pStyle w:val="Compact"/>
              <w:jc w:val="right"/>
            </w:pPr>
            <w:r>
              <w:t xml:space="preserve">LS</w:t>
            </w:r>
          </w:p>
        </w:tc>
        <w:tc>
          <w:tcPr>
            <w:tcBorders>
              <w:bottom w:val="single"/>
            </w:tcBorders>
            <w:vAlign w:val="bottom"/>
          </w:tcPr>
          <w:p>
            <w:pPr>
              <w:pStyle w:val="Compact"/>
              <w:jc w:val="right"/>
            </w:pPr>
            <w:r>
              <w:t xml:space="preserve">PSM</w:t>
            </w:r>
          </w:p>
        </w:tc>
        <w:tc>
          <w:tcPr>
            <w:tcBorders>
              <w:bottom w:val="single"/>
            </w:tcBorders>
            <w:vAlign w:val="bottom"/>
          </w:tcPr>
          <w:p>
            <w:pPr>
              <w:pStyle w:val="Compact"/>
              <w:jc w:val="right"/>
            </w:pPr>
            <w:r>
              <w:t xml:space="preserve">SSH</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Proportion (in %)</w:t>
            </w:r>
          </w:p>
        </w:tc>
      </w:tr>
      <w:tr>
        <w:tc>
          <w:p>
            <w:pPr>
              <w:pStyle w:val="Compact"/>
              <w:jc w:val="left"/>
            </w:pPr>
            <w:r>
              <w:t xml:space="preserve">East Asia &amp; Pacific</w:t>
            </w:r>
          </w:p>
        </w:tc>
        <w:tc>
          <w:p>
            <w:pPr>
              <w:pStyle w:val="Compact"/>
              <w:jc w:val="right"/>
            </w:pPr>
            <w:r>
              <w:t xml:space="preserve">7</w:t>
            </w:r>
          </w:p>
        </w:tc>
        <w:tc>
          <w:p>
            <w:pPr>
              <w:pStyle w:val="Compact"/>
              <w:jc w:val="right"/>
            </w:pPr>
            <w:r>
              <w:t xml:space="preserve">2</w:t>
            </w:r>
          </w:p>
        </w:tc>
        <w:tc>
          <w:p>
            <w:pPr>
              <w:pStyle w:val="Compact"/>
              <w:jc w:val="right"/>
            </w:pPr>
            <w:r>
              <w:t xml:space="preserve">6</w:t>
            </w:r>
          </w:p>
        </w:tc>
        <w:tc>
          <w:p>
            <w:pPr>
              <w:pStyle w:val="Compact"/>
              <w:jc w:val="right"/>
            </w:pPr>
            <w:r>
              <w:t xml:space="preserve">7</w:t>
            </w:r>
          </w:p>
        </w:tc>
        <w:tc>
          <w:p>
            <w:pPr>
              <w:pStyle w:val="Compact"/>
              <w:jc w:val="right"/>
            </w:pPr>
            <w:r>
              <w:t xml:space="preserve">22</w:t>
            </w:r>
          </w:p>
        </w:tc>
        <w:tc>
          <w:p>
            <w:pPr>
              <w:pStyle w:val="Compact"/>
              <w:jc w:val="right"/>
            </w:pPr>
            <w:r>
              <w:t xml:space="preserve">11.40</w:t>
            </w:r>
          </w:p>
        </w:tc>
      </w:tr>
      <w:tr>
        <w:tc>
          <w:p>
            <w:pPr>
              <w:pStyle w:val="Compact"/>
              <w:jc w:val="left"/>
            </w:pPr>
            <w:r>
              <w:t xml:space="preserve">Europe &amp; Central Asia</w:t>
            </w:r>
          </w:p>
        </w:tc>
        <w:tc>
          <w:p>
            <w:pPr>
              <w:pStyle w:val="Compact"/>
              <w:jc w:val="right"/>
            </w:pPr>
            <w:r>
              <w:t xml:space="preserve">11</w:t>
            </w:r>
          </w:p>
        </w:tc>
        <w:tc>
          <w:p>
            <w:pPr>
              <w:pStyle w:val="Compact"/>
              <w:jc w:val="right"/>
            </w:pPr>
            <w:r>
              <w:t xml:space="preserve">3</w:t>
            </w:r>
          </w:p>
        </w:tc>
        <w:tc>
          <w:p>
            <w:pPr>
              <w:pStyle w:val="Compact"/>
              <w:jc w:val="right"/>
            </w:pPr>
            <w:r>
              <w:t xml:space="preserve">10</w:t>
            </w:r>
          </w:p>
        </w:tc>
        <w:tc>
          <w:p>
            <w:pPr>
              <w:pStyle w:val="Compact"/>
              <w:jc w:val="right"/>
            </w:pPr>
            <w:r>
              <w:t xml:space="preserve">38</w:t>
            </w:r>
          </w:p>
        </w:tc>
        <w:tc>
          <w:p>
            <w:pPr>
              <w:pStyle w:val="Compact"/>
              <w:jc w:val="right"/>
            </w:pPr>
            <w:r>
              <w:t xml:space="preserve">62</w:t>
            </w:r>
          </w:p>
        </w:tc>
        <w:tc>
          <w:p>
            <w:pPr>
              <w:pStyle w:val="Compact"/>
              <w:jc w:val="right"/>
            </w:pPr>
            <w:r>
              <w:t xml:space="preserve">32.12</w:t>
            </w:r>
          </w:p>
        </w:tc>
      </w:tr>
      <w:tr>
        <w:tc>
          <w:p>
            <w:pPr>
              <w:pStyle w:val="Compact"/>
              <w:jc w:val="left"/>
            </w:pPr>
            <w:r>
              <w:t xml:space="preserve">Latin America &amp; Caribbean</w:t>
            </w:r>
          </w:p>
        </w:tc>
        <w:tc>
          <w:p>
            <w:pPr>
              <w:pStyle w:val="Compact"/>
              <w:jc w:val="right"/>
            </w:pPr>
            <w:r>
              <w:t xml:space="preserve">4</w:t>
            </w:r>
          </w:p>
        </w:tc>
        <w:tc>
          <w:p>
            <w:pPr>
              <w:pStyle w:val="Compact"/>
              <w:jc w:val="right"/>
            </w:pPr>
            <w:r>
              <w:t xml:space="preserve">2</w:t>
            </w:r>
          </w:p>
        </w:tc>
        <w:tc>
          <w:p>
            <w:pPr>
              <w:pStyle w:val="Compact"/>
              <w:jc w:val="right"/>
            </w:pPr>
            <w:r>
              <w:t xml:space="preserve">6</w:t>
            </w:r>
          </w:p>
        </w:tc>
        <w:tc>
          <w:p>
            <w:pPr>
              <w:pStyle w:val="Compact"/>
              <w:jc w:val="right"/>
            </w:pPr>
            <w:r>
              <w:t xml:space="preserve">14</w:t>
            </w:r>
          </w:p>
        </w:tc>
        <w:tc>
          <w:p>
            <w:pPr>
              <w:pStyle w:val="Compact"/>
              <w:jc w:val="right"/>
            </w:pPr>
            <w:r>
              <w:t xml:space="preserve">26</w:t>
            </w:r>
          </w:p>
        </w:tc>
        <w:tc>
          <w:p>
            <w:pPr>
              <w:pStyle w:val="Compact"/>
              <w:jc w:val="right"/>
            </w:pPr>
            <w:r>
              <w:t xml:space="preserve">13.47</w:t>
            </w:r>
          </w:p>
        </w:tc>
      </w:tr>
      <w:tr>
        <w:tc>
          <w:p>
            <w:pPr>
              <w:pStyle w:val="Compact"/>
              <w:jc w:val="left"/>
            </w:pPr>
            <w:r>
              <w:t xml:space="preserve">Middle East &amp; North Africa</w:t>
            </w:r>
          </w:p>
        </w:tc>
        <w:tc>
          <w:p>
            <w:pPr>
              <w:pStyle w:val="Compact"/>
              <w:jc w:val="right"/>
            </w:pPr>
            <w:r>
              <w:t xml:space="preserve">3</w:t>
            </w:r>
          </w:p>
        </w:tc>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7</w:t>
            </w:r>
          </w:p>
        </w:tc>
        <w:tc>
          <w:p>
            <w:pPr>
              <w:pStyle w:val="Compact"/>
              <w:jc w:val="right"/>
            </w:pPr>
            <w:r>
              <w:t xml:space="preserve">3.63</w:t>
            </w:r>
          </w:p>
        </w:tc>
      </w:tr>
      <w:tr>
        <w:tc>
          <w:p>
            <w:pPr>
              <w:pStyle w:val="Compact"/>
              <w:jc w:val="left"/>
            </w:pPr>
            <w:r>
              <w:t xml:space="preserve">North America</w:t>
            </w:r>
          </w:p>
        </w:tc>
        <w:tc>
          <w:p>
            <w:pPr>
              <w:pStyle w:val="Compact"/>
              <w:jc w:val="right"/>
            </w:pPr>
            <w:r>
              <w:t xml:space="preserve">4</w:t>
            </w:r>
          </w:p>
        </w:tc>
        <w:tc>
          <w:p>
            <w:pPr>
              <w:pStyle w:val="Compact"/>
              <w:jc w:val="right"/>
            </w:pPr>
            <w:r>
              <w:t xml:space="preserve">4</w:t>
            </w:r>
          </w:p>
        </w:tc>
        <w:tc>
          <w:p>
            <w:pPr>
              <w:pStyle w:val="Compact"/>
              <w:jc w:val="right"/>
            </w:pPr>
            <w:r>
              <w:t xml:space="preserve">6</w:t>
            </w:r>
          </w:p>
        </w:tc>
        <w:tc>
          <w:p>
            <w:pPr>
              <w:pStyle w:val="Compact"/>
              <w:jc w:val="right"/>
            </w:pPr>
            <w:r>
              <w:t xml:space="preserve">35</w:t>
            </w:r>
          </w:p>
        </w:tc>
        <w:tc>
          <w:p>
            <w:pPr>
              <w:pStyle w:val="Compact"/>
              <w:jc w:val="right"/>
            </w:pPr>
            <w:r>
              <w:t xml:space="preserve">49</w:t>
            </w:r>
          </w:p>
        </w:tc>
        <w:tc>
          <w:p>
            <w:pPr>
              <w:pStyle w:val="Compact"/>
              <w:jc w:val="right"/>
            </w:pPr>
            <w:r>
              <w:t xml:space="preserve">25.39</w:t>
            </w:r>
          </w:p>
        </w:tc>
      </w:tr>
      <w:tr>
        <w:tc>
          <w:p>
            <w:pPr>
              <w:pStyle w:val="Compact"/>
              <w:jc w:val="left"/>
            </w:pPr>
            <w:r>
              <w:t xml:space="preserve">South Asia</w:t>
            </w:r>
          </w:p>
        </w:tc>
        <w:tc>
          <w:p>
            <w:pPr>
              <w:pStyle w:val="Compact"/>
              <w:jc w:val="right"/>
            </w:pPr>
            <w:r>
              <w:t xml:space="preserve">4</w:t>
            </w:r>
          </w:p>
        </w:tc>
        <w:tc>
          <w:p>
            <w:pPr>
              <w:pStyle w:val="Compact"/>
              <w:jc w:val="right"/>
            </w:pPr>
            <w:r>
              <w:t xml:space="preserve">13</w:t>
            </w:r>
          </w:p>
        </w:tc>
        <w:tc>
          <w:p>
            <w:pPr>
              <w:pStyle w:val="Compact"/>
              <w:jc w:val="right"/>
            </w:pPr>
            <w:r>
              <w:t xml:space="preserve">4</w:t>
            </w:r>
          </w:p>
        </w:tc>
        <w:tc>
          <w:p>
            <w:pPr>
              <w:pStyle w:val="Compact"/>
              <w:jc w:val="right"/>
            </w:pPr>
            <w:r>
              <w:t xml:space="preserve">4</w:t>
            </w:r>
          </w:p>
        </w:tc>
        <w:tc>
          <w:p>
            <w:pPr>
              <w:pStyle w:val="Compact"/>
              <w:jc w:val="right"/>
            </w:pPr>
            <w:r>
              <w:t xml:space="preserve">25</w:t>
            </w:r>
          </w:p>
        </w:tc>
        <w:tc>
          <w:p>
            <w:pPr>
              <w:pStyle w:val="Compact"/>
              <w:jc w:val="right"/>
            </w:pPr>
            <w:r>
              <w:t xml:space="preserve">12.95</w:t>
            </w:r>
          </w:p>
        </w:tc>
      </w:tr>
      <w:tr>
        <w:tc>
          <w:p>
            <w:pPr>
              <w:pStyle w:val="Compact"/>
              <w:jc w:val="left"/>
            </w:pPr>
            <w:r>
              <w:t xml:space="preserve">Sub-Saharan Africa</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1.04</w:t>
            </w:r>
          </w:p>
        </w:tc>
      </w:tr>
      <w:tr>
        <w:tc>
          <w:p>
            <w:pPr>
              <w:pStyle w:val="Compact"/>
              <w:jc w:val="left"/>
            </w:pPr>
            <w:r>
              <w:t xml:space="preserve">Total</w:t>
            </w:r>
          </w:p>
        </w:tc>
        <w:tc>
          <w:p>
            <w:pPr>
              <w:pStyle w:val="Compact"/>
              <w:jc w:val="right"/>
            </w:pPr>
            <w:r>
              <w:t xml:space="preserve">34</w:t>
            </w:r>
          </w:p>
        </w:tc>
        <w:tc>
          <w:p>
            <w:pPr>
              <w:pStyle w:val="Compact"/>
              <w:jc w:val="right"/>
            </w:pPr>
            <w:r>
              <w:t xml:space="preserve">26</w:t>
            </w:r>
          </w:p>
        </w:tc>
        <w:tc>
          <w:p>
            <w:pPr>
              <w:pStyle w:val="Compact"/>
              <w:jc w:val="right"/>
            </w:pPr>
            <w:r>
              <w:t xml:space="preserve">33</w:t>
            </w:r>
          </w:p>
        </w:tc>
        <w:tc>
          <w:p>
            <w:pPr>
              <w:pStyle w:val="Compact"/>
              <w:jc w:val="right"/>
            </w:pPr>
            <w:r>
              <w:t xml:space="preserve">100</w:t>
            </w:r>
          </w:p>
        </w:tc>
        <w:tc>
          <w:p>
            <w:pPr>
              <w:pStyle w:val="Compact"/>
              <w:jc w:val="right"/>
            </w:pPr>
            <w:r>
              <w:t xml:space="preserve">193</w:t>
            </w:r>
          </w:p>
        </w:tc>
        <w:tc>
          <w:p>
            <w:pPr>
              <w:pStyle w:val="Compact"/>
              <w:jc w:val="right"/>
            </w:pPr>
            <w:r>
              <w:t xml:space="preserve">100.00</w:t>
            </w:r>
          </w:p>
        </w:tc>
      </w:tr>
    </w:tbl>
    <w:p>
      <w:pPr>
        <w:pStyle w:val="BodyText"/>
      </w:pPr>
      <w:r>
        <w:t xml:space="preserve">Table presents the geographic distribution by income group. All vanished journals in our sample originated from high or middle income countries.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Income Group</w:t>
            </w:r>
          </w:p>
        </w:tc>
        <w:tc>
          <w:tcPr>
            <w:tcBorders>
              <w:bottom w:val="single"/>
            </w:tcBorders>
            <w:vAlign w:val="bottom"/>
          </w:tcPr>
          <w:p>
            <w:pPr>
              <w:pStyle w:val="Compact"/>
              <w:jc w:val="right"/>
            </w:pPr>
            <w:r>
              <w:t xml:space="preserve">Vanished Journals</w:t>
            </w:r>
          </w:p>
        </w:tc>
        <w:tc>
          <w:tcPr>
            <w:tcBorders>
              <w:bottom w:val="single"/>
            </w:tcBorders>
            <w:vAlign w:val="bottom"/>
          </w:tcPr>
          <w:p>
            <w:pPr>
              <w:pStyle w:val="Compact"/>
              <w:jc w:val="right"/>
            </w:pPr>
            <w:r>
              <w:t xml:space="preserve">Proportion (in %)</w:t>
            </w:r>
          </w:p>
        </w:tc>
      </w:tr>
      <w:tr>
        <w:tc>
          <w:p>
            <w:pPr>
              <w:pStyle w:val="Compact"/>
              <w:jc w:val="left"/>
            </w:pPr>
            <w:r>
              <w:t xml:space="preserve">High income</w:t>
            </w:r>
          </w:p>
        </w:tc>
        <w:tc>
          <w:p>
            <w:pPr>
              <w:pStyle w:val="Compact"/>
              <w:jc w:val="right"/>
            </w:pPr>
            <w:r>
              <w:t xml:space="preserve">109</w:t>
            </w:r>
          </w:p>
        </w:tc>
        <w:tc>
          <w:p>
            <w:pPr>
              <w:pStyle w:val="Compact"/>
              <w:jc w:val="right"/>
            </w:pPr>
            <w:r>
              <w:t xml:space="preserve">56.48</w:t>
            </w:r>
          </w:p>
        </w:tc>
      </w:tr>
      <w:tr>
        <w:tc>
          <w:p>
            <w:pPr>
              <w:pStyle w:val="Compact"/>
              <w:jc w:val="left"/>
            </w:pPr>
            <w:r>
              <w:t xml:space="preserve">Upper middle income</w:t>
            </w:r>
          </w:p>
        </w:tc>
        <w:tc>
          <w:p>
            <w:pPr>
              <w:pStyle w:val="Compact"/>
              <w:jc w:val="right"/>
            </w:pPr>
            <w:r>
              <w:t xml:space="preserve">47</w:t>
            </w:r>
          </w:p>
        </w:tc>
        <w:tc>
          <w:p>
            <w:pPr>
              <w:pStyle w:val="Compact"/>
              <w:jc w:val="right"/>
            </w:pPr>
            <w:r>
              <w:t xml:space="preserve">24.35</w:t>
            </w:r>
          </w:p>
        </w:tc>
      </w:tr>
      <w:tr>
        <w:tc>
          <w:p>
            <w:pPr>
              <w:pStyle w:val="Compact"/>
              <w:jc w:val="left"/>
            </w:pPr>
            <w:r>
              <w:t xml:space="preserve">Lower middle income</w:t>
            </w:r>
          </w:p>
        </w:tc>
        <w:tc>
          <w:p>
            <w:pPr>
              <w:pStyle w:val="Compact"/>
              <w:jc w:val="right"/>
            </w:pPr>
            <w:r>
              <w:t xml:space="preserve">37</w:t>
            </w:r>
          </w:p>
        </w:tc>
        <w:tc>
          <w:p>
            <w:pPr>
              <w:pStyle w:val="Compact"/>
              <w:jc w:val="right"/>
            </w:pPr>
            <w:r>
              <w:t xml:space="preserve">19.17</w:t>
            </w:r>
          </w:p>
        </w:tc>
      </w:tr>
      <w:tr>
        <w:tc>
          <w:p>
            <w:pPr>
              <w:pStyle w:val="Compact"/>
              <w:jc w:val="left"/>
            </w:pPr>
            <w:r>
              <w:t xml:space="preserve">Total</w:t>
            </w:r>
          </w:p>
        </w:tc>
        <w:tc>
          <w:p>
            <w:pPr>
              <w:pStyle w:val="Compact"/>
              <w:jc w:val="right"/>
            </w:pPr>
            <w:r>
              <w:t xml:space="preserve">193</w:t>
            </w:r>
          </w:p>
        </w:tc>
        <w:tc>
          <w:p>
            <w:pPr>
              <w:pStyle w:val="Compact"/>
              <w:jc w:val="right"/>
            </w:pPr>
            <w:r>
              <w:t xml:space="preserve">100.00</w:t>
            </w:r>
          </w:p>
        </w:tc>
      </w:tr>
    </w:tbl>
    <w:p>
      <w:pPr>
        <w:pStyle w:val="Heading3"/>
      </w:pPr>
      <w:bookmarkStart w:id="28" w:name="X3a7da795d1743157344fc782ad2fcc89ffd4212"/>
      <w:r>
        <w:t xml:space="preserve">What is the lag between last journal activity year and year of vanishing?</w:t>
      </w:r>
      <w:bookmarkEnd w:id="28"/>
    </w:p>
    <w:p>
      <w:pPr>
        <w:pStyle w:val="FirstParagraph"/>
      </w:pPr>
      <w:r>
        <w:t xml:space="preserve">Using the Internet Archive’s Wayback Machine, we were able not just to record the last journal activity year, but also the time when the journal vanished, i.e. the last year this web archive was able to get hold of a snapshot of the website. Figure summarizes the lag between the last journal’s volume and disappearance from the web in years. Most journals vanished one year after the last journal volume. The median time span until vanishing was two years. Within four years after publishing the last volume, around 75% of the studied journals vanished. An exception is, for instances, the Ghanian environmental science journal</w:t>
      </w:r>
      <w:r>
        <w:t xml:space="preserve"> </w:t>
      </w:r>
      <w:r>
        <w:t xml:space="preserve">“</w:t>
      </w:r>
      <w:r>
        <w:t xml:space="preserve">African Journal of Environmental Assessment and Management</w:t>
      </w:r>
      <w:r>
        <w:t xml:space="preserve">”</w:t>
      </w:r>
      <w:r>
        <w:t xml:space="preserve">, which actively published between 1999-2008 and vanished in 2018.</w:t>
      </w:r>
    </w:p>
    <w:p>
      <w:pPr>
        <w:pStyle w:val="BodyText"/>
      </w:pPr>
      <w:r>
        <w:drawing>
          <wp:inline>
            <wp:extent cx="5334000" cy="3295226"/>
            <wp:effectExtent b="0" l="0" r="0" t="0"/>
            <wp:docPr descr="" title="" id="1" name="Picture"/>
            <a:graphic>
              <a:graphicData uri="http://schemas.openxmlformats.org/drawingml/2006/picture">
                <pic:pic>
                  <pic:nvPicPr>
                    <pic:cNvPr descr="results_files/figure-docx/unnamed-chunk-44-1.png" id="0" name="Picture"/>
                    <pic:cNvPicPr>
                      <a:picLocks noChangeArrowheads="1" noChangeAspect="1"/>
                    </pic:cNvPicPr>
                  </pic:nvPicPr>
                  <pic:blipFill>
                    <a:blip r:embed="rId29"/>
                    <a:stretch>
                      <a:fillRect/>
                    </a:stretch>
                  </pic:blipFill>
                  <pic:spPr bwMode="auto">
                    <a:xfrm>
                      <a:off x="0" y="0"/>
                      <a:ext cx="5334000" cy="3295226"/>
                    </a:xfrm>
                    <a:prstGeom prst="rect">
                      <a:avLst/>
                    </a:prstGeom>
                    <a:noFill/>
                    <a:ln w="9525">
                      <a:noFill/>
                      <a:headEnd/>
                      <a:tailEnd/>
                    </a:ln>
                  </pic:spPr>
                </pic:pic>
              </a:graphicData>
            </a:graphic>
          </wp:inline>
        </w:drawing>
      </w:r>
    </w:p>
    <w:tbl>
      <w:tblPr>
        <w:tblStyle w:val="Table"/>
        <w:tblW w:type="pct" w:w="0.0"/>
        <w:tblLook w:firstRow="1"/>
      </w:tblPr>
      <w:tblGrid/>
      <w:tr>
        <w:trPr>
          <w:cnfStyle w:firstRow="1"/>
        </w:trPr>
        <w:tc>
          <w:tcPr>
            <w:tcBorders>
              <w:bottom w:val="single"/>
            </w:tcBorders>
            <w:vAlign w:val="bottom"/>
          </w:tcPr>
          <w:p>
            <w:pPr>
              <w:pStyle w:val="Compact"/>
              <w:jc w:val="left"/>
            </w:pPr>
            <w:r>
              <w:t xml:space="preserve">Lag (in years)</w:t>
            </w:r>
          </w:p>
        </w:tc>
        <w:tc>
          <w:tcPr>
            <w:tcBorders>
              <w:bottom w:val="single"/>
            </w:tcBorders>
            <w:vAlign w:val="bottom"/>
          </w:tcPr>
          <w:p>
            <w:pPr>
              <w:pStyle w:val="Compact"/>
              <w:jc w:val="right"/>
            </w:pPr>
            <w:r>
              <w:t xml:space="preserve">Journals</w:t>
            </w:r>
          </w:p>
        </w:tc>
        <w:tc>
          <w:tcPr>
            <w:tcBorders>
              <w:bottom w:val="single"/>
            </w:tcBorders>
            <w:vAlign w:val="bottom"/>
          </w:tcPr>
          <w:p>
            <w:pPr>
              <w:pStyle w:val="Compact"/>
              <w:jc w:val="right"/>
            </w:pPr>
            <w:r>
              <w:t xml:space="preserve">Proportion (in%)</w:t>
            </w:r>
          </w:p>
        </w:tc>
        <w:tc>
          <w:tcPr>
            <w:tcBorders>
              <w:bottom w:val="single"/>
            </w:tcBorders>
            <w:vAlign w:val="bottom"/>
          </w:tcPr>
          <w:p>
            <w:pPr>
              <w:pStyle w:val="Compact"/>
              <w:jc w:val="right"/>
            </w:pPr>
            <w:r>
              <w:t xml:space="preserve">Cumulative Percentage</w:t>
            </w:r>
          </w:p>
        </w:tc>
      </w:tr>
      <w:tr>
        <w:tc>
          <w:p>
            <w:pPr>
              <w:pStyle w:val="Compact"/>
              <w:jc w:val="left"/>
            </w:pPr>
            <w:r>
              <w:t xml:space="preserve">0</w:t>
            </w:r>
          </w:p>
        </w:tc>
        <w:tc>
          <w:p>
            <w:pPr>
              <w:pStyle w:val="Compact"/>
              <w:jc w:val="right"/>
            </w:pPr>
            <w:r>
              <w:t xml:space="preserve">29</w:t>
            </w:r>
          </w:p>
        </w:tc>
        <w:tc>
          <w:p>
            <w:pPr>
              <w:pStyle w:val="Compact"/>
              <w:jc w:val="right"/>
            </w:pPr>
            <w:r>
              <w:t xml:space="preserve">15</w:t>
            </w:r>
          </w:p>
        </w:tc>
        <w:tc>
          <w:p>
            <w:pPr>
              <w:pStyle w:val="Compact"/>
              <w:jc w:val="right"/>
            </w:pPr>
            <w:r>
              <w:t xml:space="preserve">15</w:t>
            </w:r>
          </w:p>
        </w:tc>
      </w:tr>
      <w:tr>
        <w:tc>
          <w:p>
            <w:pPr>
              <w:pStyle w:val="Compact"/>
              <w:jc w:val="left"/>
            </w:pPr>
            <w:r>
              <w:t xml:space="preserve">1</w:t>
            </w:r>
          </w:p>
        </w:tc>
        <w:tc>
          <w:p>
            <w:pPr>
              <w:pStyle w:val="Compact"/>
              <w:jc w:val="right"/>
            </w:pPr>
            <w:r>
              <w:t xml:space="preserve">53</w:t>
            </w:r>
          </w:p>
        </w:tc>
        <w:tc>
          <w:p>
            <w:pPr>
              <w:pStyle w:val="Compact"/>
              <w:jc w:val="right"/>
            </w:pPr>
            <w:r>
              <w:t xml:space="preserve">27</w:t>
            </w:r>
          </w:p>
        </w:tc>
        <w:tc>
          <w:p>
            <w:pPr>
              <w:pStyle w:val="Compact"/>
              <w:jc w:val="right"/>
            </w:pPr>
            <w:r>
              <w:t xml:space="preserve">42</w:t>
            </w:r>
          </w:p>
        </w:tc>
      </w:tr>
      <w:tr>
        <w:tc>
          <w:p>
            <w:pPr>
              <w:pStyle w:val="Compact"/>
              <w:jc w:val="left"/>
            </w:pPr>
            <w:r>
              <w:t xml:space="preserve">2</w:t>
            </w:r>
          </w:p>
        </w:tc>
        <w:tc>
          <w:p>
            <w:pPr>
              <w:pStyle w:val="Compact"/>
              <w:jc w:val="right"/>
            </w:pPr>
            <w:r>
              <w:t xml:space="preserve">30</w:t>
            </w:r>
          </w:p>
        </w:tc>
        <w:tc>
          <w:p>
            <w:pPr>
              <w:pStyle w:val="Compact"/>
              <w:jc w:val="right"/>
            </w:pPr>
            <w:r>
              <w:t xml:space="preserve">16</w:t>
            </w:r>
          </w:p>
        </w:tc>
        <w:tc>
          <w:p>
            <w:pPr>
              <w:pStyle w:val="Compact"/>
              <w:jc w:val="right"/>
            </w:pPr>
            <w:r>
              <w:t xml:space="preserve">58</w:t>
            </w:r>
          </w:p>
        </w:tc>
      </w:tr>
      <w:tr>
        <w:tc>
          <w:p>
            <w:pPr>
              <w:pStyle w:val="Compact"/>
              <w:jc w:val="left"/>
            </w:pPr>
            <w:r>
              <w:t xml:space="preserve">3</w:t>
            </w:r>
          </w:p>
        </w:tc>
        <w:tc>
          <w:p>
            <w:pPr>
              <w:pStyle w:val="Compact"/>
              <w:jc w:val="right"/>
            </w:pPr>
            <w:r>
              <w:t xml:space="preserve">27</w:t>
            </w:r>
          </w:p>
        </w:tc>
        <w:tc>
          <w:p>
            <w:pPr>
              <w:pStyle w:val="Compact"/>
              <w:jc w:val="right"/>
            </w:pPr>
            <w:r>
              <w:t xml:space="preserve">14</w:t>
            </w:r>
          </w:p>
        </w:tc>
        <w:tc>
          <w:p>
            <w:pPr>
              <w:pStyle w:val="Compact"/>
              <w:jc w:val="right"/>
            </w:pPr>
            <w:r>
              <w:t xml:space="preserve">72</w:t>
            </w:r>
          </w:p>
        </w:tc>
      </w:tr>
      <w:tr>
        <w:tc>
          <w:p>
            <w:pPr>
              <w:pStyle w:val="Compact"/>
              <w:jc w:val="left"/>
            </w:pPr>
            <w:r>
              <w:t xml:space="preserve">4</w:t>
            </w:r>
          </w:p>
        </w:tc>
        <w:tc>
          <w:p>
            <w:pPr>
              <w:pStyle w:val="Compact"/>
              <w:jc w:val="right"/>
            </w:pPr>
            <w:r>
              <w:t xml:space="preserve">15</w:t>
            </w:r>
          </w:p>
        </w:tc>
        <w:tc>
          <w:p>
            <w:pPr>
              <w:pStyle w:val="Compact"/>
              <w:jc w:val="right"/>
            </w:pPr>
            <w:r>
              <w:t xml:space="preserve">8</w:t>
            </w:r>
          </w:p>
        </w:tc>
        <w:tc>
          <w:p>
            <w:pPr>
              <w:pStyle w:val="Compact"/>
              <w:jc w:val="right"/>
            </w:pPr>
            <w:r>
              <w:t xml:space="preserve">80</w:t>
            </w:r>
          </w:p>
        </w:tc>
      </w:tr>
      <w:tr>
        <w:tc>
          <w:p>
            <w:pPr>
              <w:pStyle w:val="Compact"/>
              <w:jc w:val="left"/>
            </w:pPr>
            <w:r>
              <w:t xml:space="preserve">5</w:t>
            </w:r>
          </w:p>
        </w:tc>
        <w:tc>
          <w:p>
            <w:pPr>
              <w:pStyle w:val="Compact"/>
              <w:jc w:val="right"/>
            </w:pPr>
            <w:r>
              <w:t xml:space="preserve">13</w:t>
            </w:r>
          </w:p>
        </w:tc>
        <w:tc>
          <w:p>
            <w:pPr>
              <w:pStyle w:val="Compact"/>
              <w:jc w:val="right"/>
            </w:pPr>
            <w:r>
              <w:t xml:space="preserve">7</w:t>
            </w:r>
          </w:p>
        </w:tc>
        <w:tc>
          <w:p>
            <w:pPr>
              <w:pStyle w:val="Compact"/>
              <w:jc w:val="right"/>
            </w:pPr>
            <w:r>
              <w:t xml:space="preserve">87</w:t>
            </w:r>
          </w:p>
        </w:tc>
      </w:tr>
      <w:tr>
        <w:tc>
          <w:p>
            <w:pPr>
              <w:pStyle w:val="Compact"/>
              <w:jc w:val="left"/>
            </w:pPr>
            <w:r>
              <w:t xml:space="preserve">6</w:t>
            </w:r>
          </w:p>
        </w:tc>
        <w:tc>
          <w:p>
            <w:pPr>
              <w:pStyle w:val="Compact"/>
              <w:jc w:val="right"/>
            </w:pPr>
            <w:r>
              <w:t xml:space="preserve">9</w:t>
            </w:r>
          </w:p>
        </w:tc>
        <w:tc>
          <w:p>
            <w:pPr>
              <w:pStyle w:val="Compact"/>
              <w:jc w:val="right"/>
            </w:pPr>
            <w:r>
              <w:t xml:space="preserve">5</w:t>
            </w:r>
          </w:p>
        </w:tc>
        <w:tc>
          <w:p>
            <w:pPr>
              <w:pStyle w:val="Compact"/>
              <w:jc w:val="right"/>
            </w:pPr>
            <w:r>
              <w:t xml:space="preserve">91</w:t>
            </w:r>
          </w:p>
        </w:tc>
      </w:tr>
      <w:tr>
        <w:tc>
          <w:p>
            <w:pPr>
              <w:pStyle w:val="Compact"/>
              <w:jc w:val="left"/>
            </w:pPr>
            <w:r>
              <w:t xml:space="preserve">7</w:t>
            </w:r>
          </w:p>
        </w:tc>
        <w:tc>
          <w:p>
            <w:pPr>
              <w:pStyle w:val="Compact"/>
              <w:jc w:val="right"/>
            </w:pPr>
            <w:r>
              <w:t xml:space="preserve">4</w:t>
            </w:r>
          </w:p>
        </w:tc>
        <w:tc>
          <w:p>
            <w:pPr>
              <w:pStyle w:val="Compact"/>
              <w:jc w:val="right"/>
            </w:pPr>
            <w:r>
              <w:t xml:space="preserve">2</w:t>
            </w:r>
          </w:p>
        </w:tc>
        <w:tc>
          <w:p>
            <w:pPr>
              <w:pStyle w:val="Compact"/>
              <w:jc w:val="right"/>
            </w:pPr>
            <w:r>
              <w:t xml:space="preserve">93</w:t>
            </w:r>
          </w:p>
        </w:tc>
      </w:tr>
      <w:tr>
        <w:tc>
          <w:p>
            <w:pPr>
              <w:pStyle w:val="Compact"/>
              <w:jc w:val="left"/>
            </w:pPr>
            <w:r>
              <w:t xml:space="preserve">8</w:t>
            </w:r>
          </w:p>
        </w:tc>
        <w:tc>
          <w:p>
            <w:pPr>
              <w:pStyle w:val="Compact"/>
              <w:jc w:val="right"/>
            </w:pPr>
            <w:r>
              <w:t xml:space="preserve">6</w:t>
            </w:r>
          </w:p>
        </w:tc>
        <w:tc>
          <w:p>
            <w:pPr>
              <w:pStyle w:val="Compact"/>
              <w:jc w:val="right"/>
            </w:pPr>
            <w:r>
              <w:t xml:space="preserve">3</w:t>
            </w:r>
          </w:p>
        </w:tc>
        <w:tc>
          <w:p>
            <w:pPr>
              <w:pStyle w:val="Compact"/>
              <w:jc w:val="right"/>
            </w:pPr>
            <w:r>
              <w:t xml:space="preserve">96</w:t>
            </w:r>
          </w:p>
        </w:tc>
      </w:tr>
      <w:tr>
        <w:tc>
          <w:p>
            <w:pPr>
              <w:pStyle w:val="Compact"/>
              <w:jc w:val="left"/>
            </w:pPr>
            <w:r>
              <w:t xml:space="preserve">9</w:t>
            </w:r>
          </w:p>
        </w:tc>
        <w:tc>
          <w:p>
            <w:pPr>
              <w:pStyle w:val="Compact"/>
              <w:jc w:val="right"/>
            </w:pPr>
            <w:r>
              <w:t xml:space="preserve">1</w:t>
            </w:r>
          </w:p>
        </w:tc>
        <w:tc>
          <w:p>
            <w:pPr>
              <w:pStyle w:val="Compact"/>
              <w:jc w:val="right"/>
            </w:pPr>
            <w:r>
              <w:t xml:space="preserve">1</w:t>
            </w:r>
          </w:p>
        </w:tc>
        <w:tc>
          <w:p>
            <w:pPr>
              <w:pStyle w:val="Compact"/>
              <w:jc w:val="right"/>
            </w:pPr>
            <w:r>
              <w:t xml:space="preserve">97</w:t>
            </w:r>
          </w:p>
        </w:tc>
      </w:tr>
      <w:tr>
        <w:tc>
          <w:p>
            <w:pPr>
              <w:pStyle w:val="Compact"/>
              <w:jc w:val="left"/>
            </w:pPr>
            <w:r>
              <w:t xml:space="preserve">10</w:t>
            </w:r>
          </w:p>
        </w:tc>
        <w:tc>
          <w:p>
            <w:pPr>
              <w:pStyle w:val="Compact"/>
              <w:jc w:val="right"/>
            </w:pPr>
            <w:r>
              <w:t xml:space="preserve">5</w:t>
            </w:r>
          </w:p>
        </w:tc>
        <w:tc>
          <w:p>
            <w:pPr>
              <w:pStyle w:val="Compact"/>
              <w:jc w:val="right"/>
            </w:pPr>
            <w:r>
              <w:t xml:space="preserve">3</w:t>
            </w:r>
          </w:p>
        </w:tc>
        <w:tc>
          <w:p>
            <w:pPr>
              <w:pStyle w:val="Compact"/>
              <w:jc w:val="right"/>
            </w:pPr>
            <w:r>
              <w:t xml:space="preserve">99</w:t>
            </w:r>
          </w:p>
        </w:tc>
      </w:tr>
      <w:tr>
        <w:tc>
          <w:p>
            <w:pPr>
              <w:pStyle w:val="Compact"/>
              <w:jc w:val="left"/>
            </w:pPr>
            <w:r>
              <w:t xml:space="preserve">11</w:t>
            </w:r>
          </w:p>
        </w:tc>
        <w:tc>
          <w:p>
            <w:pPr>
              <w:pStyle w:val="Compact"/>
              <w:jc w:val="right"/>
            </w:pPr>
            <w:r>
              <w:t xml:space="preserve">1</w:t>
            </w:r>
          </w:p>
        </w:tc>
        <w:tc>
          <w:p>
            <w:pPr>
              <w:pStyle w:val="Compact"/>
              <w:jc w:val="right"/>
            </w:pPr>
            <w:r>
              <w:t xml:space="preserve">1</w:t>
            </w:r>
          </w:p>
        </w:tc>
        <w:tc>
          <w:p>
            <w:pPr>
              <w:pStyle w:val="Compact"/>
              <w:jc w:val="right"/>
            </w:pPr>
            <w:r>
              <w:t xml:space="preserve">100</w:t>
            </w:r>
          </w:p>
        </w:tc>
      </w:tr>
      <w:tr>
        <w:tc>
          <w:p>
            <w:pPr>
              <w:pStyle w:val="Compact"/>
              <w:jc w:val="left"/>
            </w:pPr>
            <w:r>
              <w:t xml:space="preserve">Total</w:t>
            </w:r>
          </w:p>
        </w:tc>
        <w:tc>
          <w:p>
            <w:pPr>
              <w:pStyle w:val="Compact"/>
              <w:jc w:val="right"/>
            </w:pPr>
            <w:r>
              <w:t xml:space="preserve">193</w:t>
            </w:r>
          </w:p>
        </w:tc>
        <w:tc>
          <w:p>
            <w:pPr>
              <w:pStyle w:val="Compact"/>
              <w:jc w:val="right"/>
            </w:pPr>
            <w:r>
              <w:t xml:space="preserve">100</w:t>
            </w:r>
          </w:p>
        </w:tc>
        <w:tc>
          <w:p>
            <w:pPr>
              <w:pStyle w:val="Compact"/>
              <w:jc w:val="right"/>
            </w:pPr>
            <w:r>
              <w:t xml:space="preserve">931</w:t>
            </w:r>
          </w:p>
        </w:tc>
      </w:tr>
    </w:tbl>
    <w:p>
      <w:pPr>
        <w:pStyle w:val="Heading3"/>
      </w:pPr>
      <w:bookmarkStart w:id="30" w:name="language"/>
      <w:r>
        <w:t xml:space="preserve">Language</w:t>
      </w:r>
      <w:bookmarkEnd w:id="30"/>
    </w:p>
    <w:tbl>
      <w:tblPr>
        <w:tblStyle w:val="Table"/>
        <w:tblW w:type="pct" w:w="0.0"/>
        <w:tblLook w:firstRow="1"/>
      </w:tblPr>
      <w:tblGrid/>
      <w:tr>
        <w:trPr>
          <w:cnfStyle w:firstRow="1"/>
        </w:trPr>
        <w:tc>
          <w:tcPr>
            <w:tcBorders>
              <w:bottom w:val="single"/>
            </w:tcBorders>
            <w:vAlign w:val="bottom"/>
          </w:tcPr>
          <w:p>
            <w:pPr>
              <w:pStyle w:val="Compact"/>
              <w:jc w:val="left"/>
            </w:pPr>
            <w:r>
              <w:t xml:space="preserve">Journal Language(s)</w:t>
            </w:r>
          </w:p>
        </w:tc>
        <w:tc>
          <w:tcPr>
            <w:tcBorders>
              <w:bottom w:val="single"/>
            </w:tcBorders>
            <w:vAlign w:val="bottom"/>
          </w:tcPr>
          <w:p>
            <w:pPr>
              <w:pStyle w:val="Compact"/>
              <w:jc w:val="right"/>
            </w:pPr>
            <w:r>
              <w:t xml:space="preserve">Vanished Journals</w:t>
            </w:r>
          </w:p>
        </w:tc>
        <w:tc>
          <w:tcPr>
            <w:tcBorders>
              <w:bottom w:val="single"/>
            </w:tcBorders>
            <w:vAlign w:val="bottom"/>
          </w:tcPr>
          <w:p>
            <w:pPr>
              <w:pStyle w:val="Compact"/>
              <w:jc w:val="right"/>
            </w:pPr>
            <w:r>
              <w:t xml:space="preserve">Proportion (in %)</w:t>
            </w:r>
          </w:p>
        </w:tc>
        <w:tc>
          <w:tcPr>
            <w:tcBorders>
              <w:bottom w:val="single"/>
            </w:tcBorders>
            <w:vAlign w:val="bottom"/>
          </w:tcPr>
          <w:p>
            <w:pPr>
              <w:pStyle w:val="Compact"/>
              <w:jc w:val="right"/>
            </w:pPr>
            <w:r>
              <w:t xml:space="preserve">Mean Age (in years)</w:t>
            </w:r>
          </w:p>
        </w:tc>
        <w:tc>
          <w:tcPr>
            <w:tcBorders>
              <w:bottom w:val="single"/>
            </w:tcBorders>
            <w:vAlign w:val="bottom"/>
          </w:tcPr>
          <w:p>
            <w:pPr>
              <w:pStyle w:val="Compact"/>
              <w:jc w:val="right"/>
            </w:pPr>
            <w:r>
              <w:t xml:space="preserve">SD</w:t>
            </w:r>
          </w:p>
        </w:tc>
      </w:tr>
      <w:tr>
        <w:tc>
          <w:p>
            <w:pPr>
              <w:pStyle w:val="Compact"/>
              <w:jc w:val="left"/>
            </w:pPr>
            <w:r>
              <w:t xml:space="preserve">English</w:t>
            </w:r>
          </w:p>
        </w:tc>
        <w:tc>
          <w:p>
            <w:pPr>
              <w:pStyle w:val="Compact"/>
              <w:jc w:val="right"/>
            </w:pPr>
            <w:r>
              <w:t xml:space="preserve">133</w:t>
            </w:r>
          </w:p>
        </w:tc>
        <w:tc>
          <w:p>
            <w:pPr>
              <w:pStyle w:val="Compact"/>
              <w:jc w:val="right"/>
            </w:pPr>
            <w:r>
              <w:t xml:space="preserve">68.91</w:t>
            </w:r>
          </w:p>
        </w:tc>
        <w:tc>
          <w:p>
            <w:pPr>
              <w:pStyle w:val="Compact"/>
              <w:jc w:val="right"/>
            </w:pPr>
            <w:r>
              <w:t xml:space="preserve">7.47</w:t>
            </w:r>
          </w:p>
        </w:tc>
        <w:tc>
          <w:p>
            <w:pPr>
              <w:pStyle w:val="Compact"/>
              <w:jc w:val="right"/>
            </w:pPr>
            <w:r>
              <w:t xml:space="preserve">7.57</w:t>
            </w:r>
          </w:p>
        </w:tc>
      </w:tr>
      <w:tr>
        <w:tc>
          <w:p>
            <w:pPr>
              <w:pStyle w:val="Compact"/>
              <w:jc w:val="left"/>
            </w:pPr>
            <w:r>
              <w:t xml:space="preserve">Multiple languages including English</w:t>
            </w:r>
          </w:p>
        </w:tc>
        <w:tc>
          <w:p>
            <w:pPr>
              <w:pStyle w:val="Compact"/>
              <w:jc w:val="right"/>
            </w:pPr>
            <w:r>
              <w:t xml:space="preserve">30</w:t>
            </w:r>
          </w:p>
        </w:tc>
        <w:tc>
          <w:p>
            <w:pPr>
              <w:pStyle w:val="Compact"/>
              <w:jc w:val="right"/>
            </w:pPr>
            <w:r>
              <w:t xml:space="preserve">15.54</w:t>
            </w:r>
          </w:p>
        </w:tc>
        <w:tc>
          <w:p>
            <w:pPr>
              <w:pStyle w:val="Compact"/>
              <w:jc w:val="right"/>
            </w:pPr>
            <w:r>
              <w:t xml:space="preserve">7.60</w:t>
            </w:r>
          </w:p>
        </w:tc>
        <w:tc>
          <w:p>
            <w:pPr>
              <w:pStyle w:val="Compact"/>
              <w:jc w:val="right"/>
            </w:pPr>
            <w:r>
              <w:t xml:space="preserve">5.51</w:t>
            </w:r>
          </w:p>
        </w:tc>
      </w:tr>
      <w:tr>
        <w:tc>
          <w:p>
            <w:pPr>
              <w:pStyle w:val="Compact"/>
              <w:jc w:val="left"/>
            </w:pPr>
            <w:r>
              <w:t xml:space="preserve">Non-English</w:t>
            </w:r>
          </w:p>
        </w:tc>
        <w:tc>
          <w:p>
            <w:pPr>
              <w:pStyle w:val="Compact"/>
              <w:jc w:val="right"/>
            </w:pPr>
            <w:r>
              <w:t xml:space="preserve">30</w:t>
            </w:r>
          </w:p>
        </w:tc>
        <w:tc>
          <w:p>
            <w:pPr>
              <w:pStyle w:val="Compact"/>
              <w:jc w:val="right"/>
            </w:pPr>
            <w:r>
              <w:t xml:space="preserve">15.54</w:t>
            </w:r>
          </w:p>
        </w:tc>
        <w:tc>
          <w:p>
            <w:pPr>
              <w:pStyle w:val="Compact"/>
              <w:jc w:val="right"/>
            </w:pPr>
            <w:r>
              <w:t xml:space="preserve">8.63</w:t>
            </w:r>
          </w:p>
        </w:tc>
        <w:tc>
          <w:p>
            <w:pPr>
              <w:pStyle w:val="Compact"/>
              <w:jc w:val="right"/>
            </w:pPr>
            <w:r>
              <w:t xml:space="preserve">7.13</w:t>
            </w:r>
          </w:p>
        </w:tc>
      </w:tr>
    </w:tbl>
    <w:p>
      <w:pPr>
        <w:pStyle w:val="BodyText"/>
      </w:pPr>
      <w:r>
        <w:t xml:space="preserve">Table presents a breakdown of vanished journals by the journal’s language relative to the publication activity in years. Most vanished journals in our sample published English-language articles, while around 30 % of journals also dissemianted non-English-langauge research articles. We found no notable difference between the language of the journals and their age.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Vanished Journals</dc:title>
  <dc:creator/>
  <cp:keywords/>
  <dcterms:created xsi:type="dcterms:W3CDTF">2020-03-15T11:38:09Z</dcterms:created>
  <dcterms:modified xsi:type="dcterms:W3CDTF">2020-03-15T11:38:09Z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github_document</vt:lpwstr>
  </property>
</Properties>
</file>