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FAB7B" w14:textId="4283B20A" w:rsidR="00691397" w:rsidRDefault="00691397">
      <w:r>
        <w:t>VOLET SANTE DANS LA SND30</w:t>
      </w:r>
    </w:p>
    <w:p w14:paraId="6DA63E71" w14:textId="59F8AE9D" w:rsidR="00C64A7D" w:rsidRDefault="00C64A7D">
      <w:r w:rsidRPr="00C64A7D">
        <w:t xml:space="preserve">SANTÉ ET NUTRITION </w:t>
      </w:r>
    </w:p>
    <w:p w14:paraId="76E3483A" w14:textId="77777777" w:rsidR="00C64A7D" w:rsidRDefault="00C64A7D">
      <w:r w:rsidRPr="00C64A7D">
        <w:t>295. Au cours de la première phase de mise en œuvre de la Vision, la politique du secteur de la santé au Cameroun avait pour objectif de garantir, de manière pérenne, l'accès universel aux services et soins de santé de qualité, à travers l'amélioration de leur offre et le financement approprié de la demande de santé. De manière spécifique, il était notamment question de : (i) viabiliser 80% des districts de santé ; (ii) amener 100% des structures de santé des niveaux stratégique et intermédiaire à jouer leur rôle d'appui et d'orientation-recours ; (iii) réduire de 1/3 la charge morbide chez les pauvres et les populations les plus vulnérables ; (iv) réduire de 2/3 la mortalité des enfants de moins de 5 ans ; et (v) réduire de 3/4 la mortalité maternelle.</w:t>
      </w:r>
    </w:p>
    <w:p w14:paraId="046A6052" w14:textId="77777777" w:rsidR="00C64A7D" w:rsidRDefault="00C64A7D">
      <w:r w:rsidRPr="00C64A7D">
        <w:t xml:space="preserve"> 296. Les actions entreprises ont permis : (i) d’améliorer l’offre infrastructurelle ; (ii) d’augmenter le volume et la qualification des ressources humaines ; (iii) de faciliter l’accès aux médicaments ; (iv) d’améliorer la prévention des maladies transmissibles et la prise en charge des malades ; (v) d’améliorer la couverture vaccinale des populations cibles contre les maladies endémiques ; et (vi) d’expérimenter des modes de financements innovants de la santé Toutes ces mesures ont notamment favorisé : l’augmentation de l’espérance de vie qui est passée de 51 ans en 2000 à 58,1 ans en 2018 ; la baisse du taux de prévalence du VIH/Sida à 2,7 % en 2018 ; le recul de la mortalité infanto-juvénile de 122 décès en 2011 à 79 décès en 2018 pour 1000 naissances vivantes ; et la hausse de la proportion d’enfants de 12-23 mois complètement vaccinés, de l’ordre de 48,2% en 2004 à 75,3% en 2014. </w:t>
      </w:r>
    </w:p>
    <w:p w14:paraId="472D01C0" w14:textId="77777777" w:rsidR="00C64A7D" w:rsidRDefault="00C64A7D">
      <w:r w:rsidRPr="00C64A7D">
        <w:t xml:space="preserve">297. Toutefois, le système de santé actuel ne parvient pas encore à assurer, de manière suffisante, la promotion de la santé des populations et une prise en charge adéquate et globale des cas de maladie. Ainsi, malgré les avancées sus-évoquées, un certain nombre d’indicateurs sanitaires demeurent encore peu satisfaisants, à l’instar principalement : (i) de la mortalité maternelle qui est passée de 782 à 464 décès maternels pour 100 000 naissances vivantes entre 2011 et 2018 ; et (ii) du ratio personnel soignant/population, largement inférieur à la norme de l’OMS qui était de 2,3 pour 1000 habitants en 2009. </w:t>
      </w:r>
    </w:p>
    <w:p w14:paraId="7F7C5AB8" w14:textId="77777777" w:rsidR="00C64A7D" w:rsidRDefault="00C64A7D">
      <w:r w:rsidRPr="00C64A7D">
        <w:t xml:space="preserve">298. Parmi les principales causes de cette situation, on peut citer : (i) la répartition inégale des FOSA sur le territoire, notamment dans les zones rurales ; (ii) l’absence d’un plateau technique de qualité dans la majorité des FOSA ; (iii) la faible densité et l’inégale répartition du personnel de santé dans les Régions ; (iv) la faible accessibilité financière aux soins et services de santé de qualité pour les populations, en particulier les plus vulnérables ; (v) la mise à disposition insuffisante des paquets minimums et complémentaires d’activités dans les FOSA ; ainsi que (vi) les insuffisances relevées au niveau du financement et de la coordination des interventions. </w:t>
      </w:r>
    </w:p>
    <w:p w14:paraId="0848D66D" w14:textId="77777777" w:rsidR="00C64A7D" w:rsidRDefault="00C64A7D">
      <w:r w:rsidRPr="00C64A7D">
        <w:t xml:space="preserve">299. Fort de ce qui précède et en vue de contribuer au développement d’un capital humain sain, productif et capable de porter une croissance forte, inclusive et durable, les autorités entendent garantir à toutes les couches de la population, un accès équitable et universel aux services et soins de santé de base et aux soins spécialisés prioritaires de qualité, avec la pleine participation de la communauté. </w:t>
      </w:r>
    </w:p>
    <w:p w14:paraId="34202116" w14:textId="77777777" w:rsidR="00C64A7D" w:rsidRDefault="00C64A7D">
      <w:r w:rsidRPr="00C64A7D">
        <w:t xml:space="preserve">300. A cet effet, en lien avec l’ODD 3 relatif à la santé, il sera notamment question de : (i) faire passer le taux de mortalité maternelle en dessous de 70 pour 100 000 naissances vivantes ; (ii) ramener la mortalité néonatale à 12 pour 1 000 naissances vivantes au plus et la mortalité des enfants de moins de 5 ans à 25 pour 1 000 naissances vivantes au plus ; (iii) réduire d’au moins 30% la prévalence et la mortalité des principales maladies transmissibles et non transmissibles ; (iv) réduire de 2/3 la </w:t>
      </w:r>
      <w:r w:rsidRPr="00C64A7D">
        <w:lastRenderedPageBreak/>
        <w:t xml:space="preserve">malnutrition chez les enfants de moins de 5 ans ; et (v) viabiliser 80% des formations sanitaires intermédiaires et périphériques. </w:t>
      </w:r>
    </w:p>
    <w:p w14:paraId="5AF9E53B" w14:textId="4150F5F6" w:rsidR="00C64A7D" w:rsidRDefault="00C64A7D">
      <w:r w:rsidRPr="00C64A7D">
        <w:t>301. Dans cette optique, trois principes fondamentaux vont guider les interventions du Gouvernement, à savoir : l’amélioration de la gouvernance du système de santé, le renforcement du plateau technique des hôpitaux centraux et de référence et la valorisation du potentiel thérapeutique local. Ces principes vont imprégner les différentes composantes de la stratégie de la santé qu</w:t>
      </w:r>
      <w:r>
        <w:t>e</w:t>
      </w:r>
      <w:r w:rsidR="00691397">
        <w:t xml:space="preserve"> </w:t>
      </w:r>
      <w:r w:rsidRPr="00C64A7D">
        <w:t>sont : (i) la promotion de la santé et la nutrition ; (ii) la prévention de la maladie ; (iii) la prise en charge des cas ; et (iv) le renforcement du système de santé</w:t>
      </w:r>
    </w:p>
    <w:p w14:paraId="73D76E54" w14:textId="77777777" w:rsidR="00C64A7D" w:rsidRDefault="00C64A7D"/>
    <w:p w14:paraId="6754EAB3" w14:textId="3FDBF1C8" w:rsidR="00C64A7D" w:rsidRDefault="00C64A7D">
      <w:r>
        <w:t>Promotion de la santé et de la nutrition</w:t>
      </w:r>
    </w:p>
    <w:p w14:paraId="458D20CF" w14:textId="77777777" w:rsidR="00C64A7D" w:rsidRDefault="00C64A7D">
      <w:r>
        <w:t xml:space="preserve"> 302. Pour amener la population à adopter des comportements sains et favorables à la santé, les actions majeures consisteront principalement à : (i) améliorer le cadre de vie des populations en veillant notamment, en liaison avec les communes, au respect des normes minimales d’hygiène et de salubrité dans les zones d’habitation ; (ii) renforcer les aptitudes favorables à la santé des individus et des communautés, notamment la pratique des activités physiques et sportives ; (iii) amener les ménages à adopter les pratiques familiales essentielles par la diffusion systématique des messages de sensibilisation sur tous les supports de communication existants ; et (iv) améliorer les connaissances, les attitudes et les pratiques des jeunes et adolescents, relativement à leur </w:t>
      </w:r>
      <w:proofErr w:type="spellStart"/>
      <w:r>
        <w:t>bien</w:t>
      </w:r>
      <w:r>
        <w:t>être</w:t>
      </w:r>
      <w:proofErr w:type="spellEnd"/>
      <w:r>
        <w:t xml:space="preserve"> et à la santé sexuelle et reproductive. </w:t>
      </w:r>
    </w:p>
    <w:p w14:paraId="640EEF4F" w14:textId="52308F72" w:rsidR="006931EC" w:rsidRDefault="00C64A7D">
      <w:r>
        <w:t>303. Dans l’optique de réduire l’exposition des populations et surtout des enfants aux maladies dues à la mauvaise alimentation, il sera question : (i) de mettre en place un plan national de lutte contre la malnutrition des femmes enceintes ou allaitantes et des enfants de moins de 5 ans ; (ii) de créer un dispositif de soutien des prix d’accès aux nutriments et aliments des nourrissons ; (iii) de renforcer la sécurité sanitaire des aliments mis sur le marché et consommés par les populations ; (iv) de mettre en place un mécanisme de sensibilisation et d’éducation nutritionnelle adapté au contexte socio culturel du Cameroun ; (v) d’améliorer l’accès des populations à un régime alimentaire sain et équilibré ; et (vi) de veiller au respect des normes en matière d’étiquetage alimentaire.</w:t>
      </w:r>
    </w:p>
    <w:p w14:paraId="44D424CB" w14:textId="77777777" w:rsidR="00C64A7D" w:rsidRDefault="00C64A7D">
      <w:r w:rsidRPr="00C64A7D">
        <w:t xml:space="preserve"> Prévention de la maladie </w:t>
      </w:r>
    </w:p>
    <w:p w14:paraId="68E4DC31" w14:textId="77777777" w:rsidR="00C64A7D" w:rsidRDefault="00C64A7D">
      <w:r w:rsidRPr="00C64A7D">
        <w:t xml:space="preserve">304. Afin de réduire la mortalité prématurée due aux maladies évitables, les autorités s’engagent à : (i) réduire d’au moins 30% l’incidence/prévalence des principales maladies transmissibles (VIH/Sida, Paludisme et Tuberculose) et non transmissibles (Diabètes et HTA) ; (ii) accroître considérablement la couverture des interventions de prévention à haut impact pour les cibles mère, nouveau-né et enfant ; (iii) renforcer le dispositif de veille sanitaire ; (iv) densifier le dispositif de sensibilisation, de dépistage et de vaccination contre les maladies, en impliquant davantage les chefs traditionnels et les organisations à base communautaire ; (v) engager une lutte sans relâche contre l’addiction des jeunes aux substances nocives à la santé et l’utilisation des produits cosmétiques dangereux ; et (vi) identifier des mécanismes innovants de financement des actions préventives de la maladie. </w:t>
      </w:r>
    </w:p>
    <w:p w14:paraId="15A9C114" w14:textId="77777777" w:rsidR="00C64A7D" w:rsidRDefault="00C64A7D">
      <w:r w:rsidRPr="00C64A7D">
        <w:t xml:space="preserve">Prise en charge des cas </w:t>
      </w:r>
    </w:p>
    <w:p w14:paraId="1C33597D" w14:textId="77777777" w:rsidR="00C64A7D" w:rsidRDefault="00C64A7D">
      <w:r w:rsidRPr="00C64A7D">
        <w:t xml:space="preserve">305. En vue de réduire la mortalité globale et la létalité, le Gouvernement compte améliorer la qualité des soins et des interventions sanitaires dans les FOSA et dans la communauté, en veillant à l’humanisation de la prise en charge. Dans ce sens, il s’agira prioritairement de poursuivre la politique d’amélioration du plateau technique des hôpitaux centraux et de référence engagée depuis quelques années, en veillant également à équiper les FOSA intermédiaires et périphériques. </w:t>
      </w:r>
    </w:p>
    <w:p w14:paraId="136F7317" w14:textId="77777777" w:rsidR="00C64A7D" w:rsidRDefault="00C64A7D">
      <w:r w:rsidRPr="00C64A7D">
        <w:lastRenderedPageBreak/>
        <w:t>306. Par ailleurs, les autorités envisagent : (i) assurer une prise en charge globale des problèmes de santé de la mère, du nouveau-né, de l’enfant et de l’adolescent ; (ii) renforcer les capacités opérationnelles des services d’urgence des hôpitaux ; (iii) mettre sur pied un système opérationnel de surveillance et de riposte aux Maladies à Potentiel Endémique, aux évènements de santé publique et aux situations de crise ; et (iv) mettre en place un mécanisme d’assistance aux personnes indigentes dans les FOSA.</w:t>
      </w:r>
    </w:p>
    <w:p w14:paraId="1F69171B" w14:textId="77777777" w:rsidR="00C64A7D" w:rsidRDefault="00C64A7D">
      <w:r w:rsidRPr="00C64A7D">
        <w:t xml:space="preserve"> 307. Le Gouvernement veillera aussi à : (i) améliorer le dispositif clinique de lutte contre le VIH/Sida, le paludisme, la tuberculose et les hépatites en y incluant une stratégie de réponse au phénomène de résistance aux antibiotiques ; (ii) mieux opérationnaliser le système de référence-contre référence ; et (iii) rationaliser le fonctionnement des programmes et initiatives de lutte contre les principales maladies épidémiques et endémiques. En outre,</w:t>
      </w:r>
      <w:r w:rsidRPr="00C64A7D">
        <w:t xml:space="preserve"> </w:t>
      </w:r>
      <w:r>
        <w:t>l</w:t>
      </w:r>
      <w:r w:rsidRPr="00C64A7D">
        <w:t>’utilisation des protocoles de diagnostic et le respect des normes de prise en charge hospitalière et communautaire des cas seront contrôlés de manière beaucoup plus stricte. L’accent sera également porté sur la densification de l’offre des services pour soins spécialisés, avec une attention particulière pour la prise en charge notamment du handicap et de la santé mentale, des troubles du développement, des grands brûlés, et des soins palliatifs et d’accompagnement.</w:t>
      </w:r>
    </w:p>
    <w:p w14:paraId="596361E2" w14:textId="77777777" w:rsidR="00C64A7D" w:rsidRDefault="00C64A7D">
      <w:r w:rsidRPr="00C64A7D">
        <w:t xml:space="preserve"> Renforcement du système de santé</w:t>
      </w:r>
    </w:p>
    <w:p w14:paraId="581FA5E7" w14:textId="77777777" w:rsidR="00C64A7D" w:rsidRDefault="00C64A7D">
      <w:r w:rsidRPr="00C64A7D">
        <w:t xml:space="preserve"> 308. Dans la perspective du renforcement du système de santé, les autorités envisagent : (i) améliorer l’efficacité du système de santé en mettant à profit la décentralisation ; (ii) mettre sur pied la Couverture Santé Universelle ; (iii) promouvoir le développement d’une industrie pharmaceutique locale ; (iv) favoriser la performance hospitalière et la démarche qualité dans les FOSA ; (v) renforcer l’accessibilité géographique aux soins de santé ; (vi) disposer de personnels de santé qualifiés et motivés ; et (vii) améliorer la gouvernance sanitaire.</w:t>
      </w:r>
    </w:p>
    <w:p w14:paraId="0D289F7C" w14:textId="77777777" w:rsidR="00C64A7D" w:rsidRDefault="00C64A7D">
      <w:r w:rsidRPr="00C64A7D">
        <w:t xml:space="preserve"> 309. En vue d’améliorer l’efficacité du système de santé, le Gouvernement entend mettre à profit toutes les opportunités qu’offre la décentralisation, en termes de gestion des FOSA et du personnel de santé. A cet effet, les autorités comptent allouer aux CTD toutes les ressources nécessaires à l’exercice des compétences qui leur sont dévolues en matière de santé. </w:t>
      </w:r>
    </w:p>
    <w:p w14:paraId="2F4B9132" w14:textId="010DE576" w:rsidR="00C64A7D" w:rsidRDefault="00C64A7D">
      <w:r w:rsidRPr="00C64A7D">
        <w:t xml:space="preserve">310. Concernant la Couverture Santé Universelle, l’objectif est de garantir à l’ensemble de la population, une protection financière contre le risque maladie et une couverture équitable en soins et services de santé de qualité. Ainsi, le Gouvernement travaillera à la mise en œuvre progressive de ce dispositif de protection sociale. Par ailleurs, l’accent sera mis sur la mobilisation optimale des ressources internes et la gestion efficiente et rationnelle des ressources existantes, en perspective de la réduction du financement issu du partenariat au développement. </w:t>
      </w:r>
    </w:p>
    <w:p w14:paraId="0EAF42C3" w14:textId="77777777" w:rsidR="00C64A7D" w:rsidRDefault="00C64A7D">
      <w:r w:rsidRPr="00C64A7D">
        <w:t xml:space="preserve">311. Par ailleurs, en vue de réduire les dépenses directes des ménages, en attendant la prise en charge de certaines pathologies par la CSU, il sera nécessaire de continuer à promouvoir la gratuité ciblée ou la subvention de la demande de certaines populations, à travers notamment le Chèque santé, les kits obstétricaux et les mutuelles de santé. </w:t>
      </w:r>
    </w:p>
    <w:p w14:paraId="59BF3978" w14:textId="77777777" w:rsidR="00C64A7D" w:rsidRDefault="00C64A7D">
      <w:r w:rsidRPr="00C64A7D">
        <w:t xml:space="preserve">312. Dans l’optique d’améliorer la protection, l’équité, la disponibilité et l’accessibilité des médicaments, le Gouvernement entend mettre en place une politique de développement et de promotion des industries pharmaceutiques locales. Par ailleurs, il sera question de : (i) mettre en place, de manière ciblée et en liaison avec les CTD, un dispositif de distribution des médicaments essentiels aux populations les plus vulnérables des zones défavorisées ; (ii) mettre en œuvre un plan de structuration du sous-secteur de la médecine traditionnelle en vue de normer et de vulgariser les </w:t>
      </w:r>
      <w:r w:rsidRPr="00C64A7D">
        <w:lastRenderedPageBreak/>
        <w:t xml:space="preserve">produits qui en sont issus ; et (iii) valoriser les résultats de la recherche et le patrimoine thérapeutique national au sein de l’industrie pharmaceutique. </w:t>
      </w:r>
    </w:p>
    <w:p w14:paraId="3774AFFA" w14:textId="77777777" w:rsidR="00C64A7D" w:rsidRDefault="00C64A7D">
      <w:r w:rsidRPr="00C64A7D">
        <w:t xml:space="preserve">313. Concernant la performance hospitalière et la démarche qualité dans les FOSA, le Gouvernement s’engage à : (i) introduire des contrats de performance hospitalière pour favoriser la qualité des soins et l’autonomisation des FOSA ; (ii) instituer une charte du malade indiquant les droits et devoirs du patient au sein des FOSA ; et (iii) systématiser l’utilisation d’un dispositif uniforme de collecte statistique dans les FOSA publiques et privées. </w:t>
      </w:r>
    </w:p>
    <w:p w14:paraId="6B877142" w14:textId="77777777" w:rsidR="00C64A7D" w:rsidRDefault="00C64A7D">
      <w:r w:rsidRPr="00C64A7D">
        <w:t xml:space="preserve">314. En vue de renforcer l’accessibilité géographique des populations aux soins de santé, le Gouvernement se propose de veiller, en liaison avec les CTD, à une meilleure répartition territoriale des FOSA publiques sur la base d’une carte sanitaire actualisée. Le Gouvernement prendra également des mesures incitatives pour encourager la création des hôpitaux privés répondant aux normes et standards requis. </w:t>
      </w:r>
    </w:p>
    <w:p w14:paraId="20E0AB94" w14:textId="6623191E" w:rsidR="00C64A7D" w:rsidRDefault="00C64A7D">
      <w:r w:rsidRPr="00C64A7D">
        <w:t xml:space="preserve">315. S’agissant des ressources humaines, l’objectif est de disposer de personnels de santé en quantité et qualité suffisante, à travers notamment : (i) le recrutement massif dans </w:t>
      </w:r>
      <w:proofErr w:type="spellStart"/>
      <w:r w:rsidRPr="00C64A7D">
        <w:t>lesous-secteur</w:t>
      </w:r>
      <w:proofErr w:type="spellEnd"/>
      <w:r w:rsidRPr="00C64A7D">
        <w:t xml:space="preserve"> public ; (ii) la valorisation des personnels soignants à travers l’implication dans la gestion de la FOSA ainsi que l’attribution aux personnels soignants des zones rurales d’avantages spécifiques ; (iii) l’utilisation optimale des personnels de santé dans le </w:t>
      </w:r>
      <w:proofErr w:type="spellStart"/>
      <w:r w:rsidRPr="00C64A7D">
        <w:t>sous</w:t>
      </w:r>
      <w:r w:rsidRPr="00C64A7D">
        <w:t>secteur</w:t>
      </w:r>
      <w:proofErr w:type="spellEnd"/>
      <w:r w:rsidRPr="00C64A7D">
        <w:t xml:space="preserve"> public et la valorisation des parcours dans le sous-secteur privé ; (iv) le renforcement de la présence des agents de santé communautaire qualifiés ; et (v) la fidélisation des personnels de santé à leurs postes de travail en tirant profit de la décentralisation.</w:t>
      </w:r>
    </w:p>
    <w:p w14:paraId="2BFBF7FC" w14:textId="4D431099" w:rsidR="00C64A7D" w:rsidRDefault="00C64A7D">
      <w:r w:rsidRPr="00C64A7D">
        <w:t xml:space="preserve"> 316. Pour ce qui est de la gouvernance sanitaire, les axes d’intervention concernent : (i) le renforcement de la coordination des interventions en santé dans les sous-secteur public, privé et de médecine traditionnelle ; (ii) la création d’un cadre de concertation intersectoriel entre les acteurs du secteur santé, notamment dans les domaines de la promotion de la santé et la prévention de la maladie ; (iii) le renforcement et la modernisation du système d’information sanitaire ; (iv) l’actualisation du cadre juridique ; (v) la promotion de la culture de transparence et de redevabilité, avec la systématisation de l’évaluation participative ; (vi) l’intensification du partenariat et de la coopération en santé ; et (vii) la mise sur pied d’un environnement favorable à l’éclosion d’une économie locale de la santé.</w:t>
      </w:r>
    </w:p>
    <w:sectPr w:rsidR="00C64A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7D"/>
    <w:rsid w:val="00691397"/>
    <w:rsid w:val="006931EC"/>
    <w:rsid w:val="008C2EB7"/>
    <w:rsid w:val="00C64A7D"/>
    <w:rsid w:val="00D975D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D584"/>
  <w15:chartTrackingRefBased/>
  <w15:docId w15:val="{EC672758-3BC0-405E-856A-333655D6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2186</Words>
  <Characters>12028</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Dell-pc</dc:creator>
  <cp:keywords/>
  <dc:description/>
  <cp:lastModifiedBy>Dell-pc</cp:lastModifiedBy>
  <cp:revision>1</cp:revision>
  <dcterms:created xsi:type="dcterms:W3CDTF">2024-01-25T11:38:00Z</dcterms:created>
  <dcterms:modified xsi:type="dcterms:W3CDTF">2024-01-25T13:40:00Z</dcterms:modified>
</cp:coreProperties>
</file>