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proofErr w:type="spellStart"/>
      <w:r w:rsidRPr="002917D4">
        <w:t>St.n</w:t>
      </w:r>
      <w:proofErr w:type="spellEnd"/>
      <w:r w:rsidRPr="002917D4">
        <w:t>.</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Default="00C22C99">
      <w:pPr>
        <w:pStyle w:val="BodyText"/>
        <w:spacing w:before="17"/>
      </w:pP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 xml:space="preserve">Vorstellung auf dem psychiatrischen Inselnotfall nach Zuweisung durch Dr. med. Zwanghaft in Begleitung der Ehefrau auf freiwilliger Basis. Von dort Transfer per Taxi in UPD </w:t>
      </w:r>
      <w:proofErr w:type="spellStart"/>
      <w:r w:rsidRPr="002917D4">
        <w:t>Bolligenstrasse</w:t>
      </w:r>
      <w:proofErr w:type="spellEnd"/>
      <w:r w:rsidRPr="002917D4">
        <w:t>.</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 xml:space="preserve">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w:t>
      </w:r>
      <w:proofErr w:type="spellStart"/>
      <w:r w:rsidRPr="002917D4">
        <w:t>os</w:t>
      </w:r>
      <w:proofErr w:type="spellEnd"/>
      <w:r w:rsidRPr="002917D4">
        <w:t xml:space="preserve">). Anfänglich habe er sich diese von der Praxis Konzentrationszentrum vor zwei Jahren verschreiben lassen, nun besorge er die Präparate selbst auf der </w:t>
      </w:r>
      <w:proofErr w:type="spellStart"/>
      <w:r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426406">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6A615DB3" w14:textId="41CD0338" w:rsidR="00C22C99" w:rsidRPr="002917D4" w:rsidRDefault="00000000" w:rsidP="00CB7EBF">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r w:rsidR="00CB7EBF">
        <w:t xml:space="preserve"> </w:t>
      </w:r>
      <w:r w:rsidRPr="002917D4">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w:t>
      </w:r>
      <w:proofErr w:type="spellStart"/>
      <w:r w:rsidRPr="002917D4">
        <w:t>regelmässig</w:t>
      </w:r>
      <w:proofErr w:type="spellEnd"/>
      <w:r w:rsidRPr="002917D4">
        <w:t xml:space="preserve"> Alkohol.</w:t>
      </w:r>
      <w:r w:rsidR="007A53F2">
        <w:t xml:space="preserve"> In Jugend einzelne Cannabis-Versuche, seit vielen Jahren abstinent.</w:t>
      </w:r>
    </w:p>
    <w:p w14:paraId="7F7BF981" w14:textId="77777777" w:rsidR="00C22C99" w:rsidRPr="002917D4" w:rsidRDefault="00C22C99">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proofErr w:type="spellStart"/>
      <w:r w:rsidRPr="009637E2">
        <w:rPr>
          <w:b/>
          <w:bCs/>
          <w:spacing w:val="-2"/>
        </w:rPr>
        <w:lastRenderedPageBreak/>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6D59F3FC" w:rsidR="00E524C9" w:rsidRDefault="00000000" w:rsidP="00E524C9">
      <w:pPr>
        <w:ind w:left="118"/>
      </w:pPr>
      <w:r w:rsidRPr="002917D4">
        <w:t xml:space="preserve">Pharmakologisch entschieden wir uns </w:t>
      </w:r>
      <w:r w:rsidR="00E524C9" w:rsidRPr="0025125A">
        <w:t xml:space="preserve">Venlafaxin </w:t>
      </w:r>
      <w:r w:rsidR="00E524C9">
        <w:t xml:space="preserve">mit </w:t>
      </w:r>
      <w:r w:rsidR="00E524C9" w:rsidRPr="0025125A">
        <w:t xml:space="preserve">einer niedrigen Anfangsdosis von 37,5 mg pro Tag </w:t>
      </w:r>
      <w:r w:rsidR="00E524C9">
        <w:t xml:space="preserve">zu beginnen und </w:t>
      </w:r>
      <w:r w:rsidR="00E524C9" w:rsidRPr="0025125A">
        <w:t xml:space="preserve">bis </w:t>
      </w:r>
      <w:r w:rsidR="00E524C9">
        <w:t>zur</w:t>
      </w:r>
      <w:r w:rsidR="00E524C9" w:rsidRPr="0025125A">
        <w:t xml:space="preserve"> Zieldosis von 75 mg pro Tag </w:t>
      </w:r>
      <w:r w:rsidR="00E524C9">
        <w:t>aufzudosieren</w:t>
      </w:r>
      <w:r w:rsidR="00E524C9" w:rsidRPr="0025125A">
        <w:t xml:space="preserve">. Während </w:t>
      </w:r>
      <w:r w:rsidR="00E524C9">
        <w:t>des</w:t>
      </w:r>
      <w:r w:rsidR="00E524C9" w:rsidRPr="0025125A">
        <w:t xml:space="preserve"> </w:t>
      </w:r>
      <w:proofErr w:type="spellStart"/>
      <w:r w:rsidR="00E524C9" w:rsidRPr="0025125A">
        <w:t>Eindosierungsprozesses</w:t>
      </w:r>
      <w:proofErr w:type="spellEnd"/>
      <w:r w:rsidR="00E524C9" w:rsidRPr="0025125A">
        <w:t xml:space="preserve"> </w:t>
      </w:r>
      <w:r w:rsidR="00E524C9">
        <w:t>traten</w:t>
      </w:r>
      <w:r w:rsidR="00E524C9" w:rsidRPr="0025125A">
        <w:t xml:space="preserve"> typische, aber tolerierbare Nebenwirkungen </w:t>
      </w:r>
      <w:r w:rsidR="00E524C9">
        <w:t>auf</w:t>
      </w:r>
      <w:r w:rsidR="00E524C9" w:rsidRPr="0025125A">
        <w:t xml:space="preserve">, darunter </w:t>
      </w:r>
      <w:r w:rsidR="00E524C9">
        <w:t xml:space="preserve">leichte </w:t>
      </w:r>
      <w:r w:rsidR="00E524C9" w:rsidRPr="0025125A">
        <w:t>Übelkeit, Kopfschmerzen, Schwindel</w:t>
      </w:r>
      <w:r w:rsidR="00E524C9">
        <w:t xml:space="preserve"> </w:t>
      </w:r>
      <w:r w:rsidR="00E524C9" w:rsidRPr="0025125A">
        <w:t>und vermehrtes Schwitzen</w:t>
      </w:r>
      <w:r w:rsidR="00E524C9">
        <w:t>. Diese sistierten im Verlauf vollständig. Verlaufs-EKG und Laborkontrollen waren jeweils unauffällig.</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lastRenderedPageBreak/>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570BE918" w:rsidR="00C22C99" w:rsidRPr="002917D4" w:rsidRDefault="00000000">
      <w:pPr>
        <w:pStyle w:val="BodyText"/>
        <w:spacing w:before="11" w:line="247" w:lineRule="auto"/>
        <w:ind w:left="118" w:right="193"/>
      </w:pPr>
      <w:r w:rsidRPr="002917D4">
        <w:t>Es verbesserte sich</w:t>
      </w:r>
      <w:r w:rsidR="00E73679">
        <w:t xml:space="preserve"> XXX</w:t>
      </w:r>
      <w:r w:rsidRPr="002917D4">
        <w:rPr>
          <w:spacing w:val="-2"/>
        </w:rPr>
        <w:t>.</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426406">
          <w:footerReference w:type="default" r:id="rId10"/>
          <w:pgSz w:w="11900" w:h="16840"/>
          <w:pgMar w:top="620" w:right="460" w:bottom="520" w:left="1300" w:header="0" w:footer="331" w:gutter="0"/>
          <w:cols w:space="720"/>
        </w:sectPr>
      </w:pPr>
    </w:p>
    <w:p w14:paraId="53AC00A5" w14:textId="77777777"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VENLAFAXIN</w:t>
      </w:r>
      <w:r w:rsidRPr="002917D4">
        <w:rPr>
          <w:spacing w:val="-6"/>
        </w:rPr>
        <w:t xml:space="preserve"> </w:t>
      </w:r>
      <w:r w:rsidRPr="002917D4">
        <w:t>75</w:t>
      </w:r>
      <w:r w:rsidRPr="002917D4">
        <w:rPr>
          <w:spacing w:val="-3"/>
        </w:rPr>
        <w:t xml:space="preserve"> </w:t>
      </w:r>
      <w:r w:rsidRPr="002917D4">
        <w:t>mg</w:t>
      </w:r>
      <w:r w:rsidRPr="002917D4">
        <w:rPr>
          <w:spacing w:val="-2"/>
        </w:rPr>
        <w:t xml:space="preserve"> </w:t>
      </w:r>
      <w:proofErr w:type="spellStart"/>
      <w:r w:rsidRPr="002917D4">
        <w:t>Filmtabl</w:t>
      </w:r>
      <w:proofErr w:type="spellEnd"/>
      <w:r w:rsidRPr="002917D4">
        <w:rPr>
          <w:spacing w:val="-4"/>
        </w:rPr>
        <w:t xml:space="preserve"> </w:t>
      </w:r>
      <w:r w:rsidRPr="002917D4">
        <w:t>(Venlafaxin)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426406">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w:t>
      </w:r>
      <w:proofErr w:type="spellStart"/>
      <w:r w:rsidR="003463A1">
        <w:rPr>
          <w:spacing w:val="-2"/>
        </w:rPr>
        <w:t>Aufdosierung</w:t>
      </w:r>
      <w:proofErr w:type="spellEnd"/>
      <w:r w:rsidR="003463A1">
        <w:rPr>
          <w:spacing w:val="-2"/>
        </w:rPr>
        <w:t xml:space="preserve">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t>Assistenzarzt</w:t>
            </w:r>
            <w:proofErr w:type="spellEnd"/>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F7D5" w14:textId="77777777" w:rsidR="00426406" w:rsidRDefault="00426406">
      <w:r>
        <w:separator/>
      </w:r>
    </w:p>
  </w:endnote>
  <w:endnote w:type="continuationSeparator" w:id="0">
    <w:p w14:paraId="04B52AFD" w14:textId="77777777" w:rsidR="00426406" w:rsidRDefault="0042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912A8" w14:textId="77777777" w:rsidR="00426406" w:rsidRDefault="00426406">
      <w:r>
        <w:separator/>
      </w:r>
    </w:p>
  </w:footnote>
  <w:footnote w:type="continuationSeparator" w:id="0">
    <w:p w14:paraId="1F0503F3" w14:textId="77777777" w:rsidR="00426406" w:rsidRDefault="00426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7916"/>
    <w:rsid w:val="001031AA"/>
    <w:rsid w:val="001353E7"/>
    <w:rsid w:val="00153F7B"/>
    <w:rsid w:val="0017302B"/>
    <w:rsid w:val="001B0625"/>
    <w:rsid w:val="001B7DBD"/>
    <w:rsid w:val="002501E1"/>
    <w:rsid w:val="0026354F"/>
    <w:rsid w:val="002638B4"/>
    <w:rsid w:val="002917D4"/>
    <w:rsid w:val="003463A1"/>
    <w:rsid w:val="00382F30"/>
    <w:rsid w:val="00384E7A"/>
    <w:rsid w:val="00426406"/>
    <w:rsid w:val="004B0B65"/>
    <w:rsid w:val="00555D45"/>
    <w:rsid w:val="005A5FFD"/>
    <w:rsid w:val="006904F9"/>
    <w:rsid w:val="00721435"/>
    <w:rsid w:val="007954D6"/>
    <w:rsid w:val="007A53F2"/>
    <w:rsid w:val="007D76A8"/>
    <w:rsid w:val="00816CB1"/>
    <w:rsid w:val="00847EBD"/>
    <w:rsid w:val="008D14F5"/>
    <w:rsid w:val="008F4ECE"/>
    <w:rsid w:val="009637E2"/>
    <w:rsid w:val="00980764"/>
    <w:rsid w:val="009A2205"/>
    <w:rsid w:val="00A71A43"/>
    <w:rsid w:val="00AA3683"/>
    <w:rsid w:val="00B31F8D"/>
    <w:rsid w:val="00B629A6"/>
    <w:rsid w:val="00BB66BD"/>
    <w:rsid w:val="00C165E2"/>
    <w:rsid w:val="00C22C99"/>
    <w:rsid w:val="00C552B1"/>
    <w:rsid w:val="00CB7EBF"/>
    <w:rsid w:val="00CD3634"/>
    <w:rsid w:val="00D05A55"/>
    <w:rsid w:val="00D408B5"/>
    <w:rsid w:val="00D70892"/>
    <w:rsid w:val="00E524C9"/>
    <w:rsid w:val="00E736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38</cp:revision>
  <dcterms:created xsi:type="dcterms:W3CDTF">2024-05-06T09:23:00Z</dcterms:created>
  <dcterms:modified xsi:type="dcterms:W3CDTF">2024-05-06T12:59:00Z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