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EAC75" w14:textId="77777777" w:rsidR="003B4007" w:rsidRPr="009C5D94" w:rsidRDefault="003B4007" w:rsidP="007C38F2">
      <w:pPr>
        <w:pStyle w:val="Cmsor1"/>
      </w:pPr>
      <w:r w:rsidRPr="009C5D94">
        <w:t>A magyar buszgyártás fénykora</w:t>
      </w:r>
    </w:p>
    <w:p w14:paraId="174AC638" w14:textId="77777777" w:rsidR="003B4007" w:rsidRPr="00BB7C26" w:rsidRDefault="003B4007" w:rsidP="007D3D23">
      <w:pPr>
        <w:spacing w:before="120" w:after="0" w:line="240" w:lineRule="auto"/>
        <w:jc w:val="both"/>
        <w:rPr>
          <w:rFonts w:ascii="EB Garamond" w:hAnsi="EB Garamond" w:cs="EB Garamond"/>
          <w:sz w:val="24"/>
          <w:szCs w:val="24"/>
        </w:rPr>
      </w:pPr>
      <w:r w:rsidRPr="00BB7C26">
        <w:rPr>
          <w:rFonts w:ascii="EB Garamond" w:hAnsi="EB Garamond" w:cs="EB Garamond"/>
          <w:sz w:val="24"/>
          <w:szCs w:val="24"/>
        </w:rPr>
        <w:t xml:space="preserve">A hatvanas évek második felét követő mintegy két évtized nevezhető a magyar autóbuszgyártás és ezzel együtt a magyar járműipar fénykorának. A magyar konstrukciók által elért sikerek önmagukban is </w:t>
      </w:r>
      <w:proofErr w:type="spellStart"/>
      <w:r w:rsidRPr="00BB7C26">
        <w:rPr>
          <w:rFonts w:ascii="EB Garamond" w:hAnsi="EB Garamond" w:cs="EB Garamond"/>
          <w:sz w:val="24"/>
          <w:szCs w:val="24"/>
        </w:rPr>
        <w:t>sokatmondóak</w:t>
      </w:r>
      <w:proofErr w:type="spellEnd"/>
      <w:r w:rsidRPr="00BB7C26">
        <w:rPr>
          <w:rFonts w:ascii="EB Garamond" w:hAnsi="EB Garamond" w:cs="EB Garamond"/>
          <w:sz w:val="24"/>
          <w:szCs w:val="24"/>
        </w:rPr>
        <w:t>, az elképesztő termelési adatok mögött egy rendkívül innovatív műszaki kultúra képe körvonalazódott, amely megteremtette annak lehetőségét, hogy valóban használható és versenyképes termékek születhessenek olyan darabszámban, amely azóta is megismételhetetlen, és valószínűleg az is marad.</w:t>
      </w:r>
    </w:p>
    <w:p w14:paraId="2AA31149" w14:textId="77777777" w:rsidR="003B4007" w:rsidRPr="00967724" w:rsidRDefault="003B4007" w:rsidP="00967724">
      <w:pPr>
        <w:pStyle w:val="Cmsor2"/>
      </w:pPr>
      <w:r w:rsidRPr="00967724">
        <w:t>A „faros”</w:t>
      </w:r>
    </w:p>
    <w:p w14:paraId="4CDAE72C" w14:textId="52E3A91A" w:rsidR="003B4007" w:rsidRPr="00BB7C26" w:rsidRDefault="005D3D29" w:rsidP="007D3D23">
      <w:pPr>
        <w:spacing w:before="120" w:after="0" w:line="240" w:lineRule="auto"/>
        <w:jc w:val="both"/>
        <w:rPr>
          <w:rFonts w:ascii="EB Garamond" w:hAnsi="EB Garamond" w:cs="EB Garamond"/>
          <w:sz w:val="24"/>
          <w:szCs w:val="24"/>
        </w:rPr>
      </w:pPr>
      <w:r>
        <w:rPr>
          <w:rFonts w:ascii="EB Garamond" w:hAnsi="EB Garamond" w:cs="EB Garamond"/>
          <w:noProof/>
          <w:sz w:val="24"/>
          <w:szCs w:val="24"/>
        </w:rPr>
        <w:drawing>
          <wp:anchor distT="0" distB="0" distL="144145" distR="114300" simplePos="0" relativeHeight="251659264" behindDoc="1" locked="0" layoutInCell="1" allowOverlap="1" wp14:anchorId="7A12AC5B" wp14:editId="02DB1A66">
            <wp:simplePos x="0" y="0"/>
            <wp:positionH relativeFrom="margin">
              <wp:align>right</wp:align>
            </wp:positionH>
            <wp:positionV relativeFrom="paragraph">
              <wp:posOffset>4445</wp:posOffset>
            </wp:positionV>
            <wp:extent cx="2700000" cy="3567600"/>
            <wp:effectExtent l="0" t="0" r="5715" b="0"/>
            <wp:wrapTight wrapText="bothSides">
              <wp:wrapPolygon edited="0">
                <wp:start x="0" y="0"/>
                <wp:lineTo x="0" y="21454"/>
                <wp:lineTo x="21493" y="21454"/>
                <wp:lineTo x="21493" y="0"/>
                <wp:lineTo x="0" y="0"/>
              </wp:wrapPolygon>
            </wp:wrapTight>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karus66.jpg"/>
                    <pic:cNvPicPr/>
                  </pic:nvPicPr>
                  <pic:blipFill>
                    <a:blip r:embed="rId7">
                      <a:extLst>
                        <a:ext uri="{28A0092B-C50C-407E-A947-70E740481C1C}">
                          <a14:useLocalDpi xmlns:a14="http://schemas.microsoft.com/office/drawing/2010/main" val="0"/>
                        </a:ext>
                      </a:extLst>
                    </a:blip>
                    <a:stretch>
                      <a:fillRect/>
                    </a:stretch>
                  </pic:blipFill>
                  <pic:spPr>
                    <a:xfrm>
                      <a:off x="0" y="0"/>
                      <a:ext cx="2700000" cy="3567600"/>
                    </a:xfrm>
                    <a:prstGeom prst="rect">
                      <a:avLst/>
                    </a:prstGeom>
                  </pic:spPr>
                </pic:pic>
              </a:graphicData>
            </a:graphic>
            <wp14:sizeRelH relativeFrom="page">
              <wp14:pctWidth>0</wp14:pctWidth>
            </wp14:sizeRelH>
            <wp14:sizeRelV relativeFrom="page">
              <wp14:pctHeight>0</wp14:pctHeight>
            </wp14:sizeRelV>
          </wp:anchor>
        </w:drawing>
      </w:r>
      <w:r w:rsidR="003B4007" w:rsidRPr="00BB7C26">
        <w:rPr>
          <w:rFonts w:ascii="EB Garamond" w:hAnsi="EB Garamond" w:cs="EB Garamond"/>
          <w:sz w:val="24"/>
          <w:szCs w:val="24"/>
        </w:rPr>
        <w:t>Sikerek és szakmai szempontból emlékezetes modellek természetesen már a hatvanas éveket megelőzően is kötődtek a magyar járműiparhoz. Az áttörést a mára igazi klasszikussá vált Ikarus 55-ös, azaz a „faros” hozta meg. Ezzel a típussal és városi-elővárosi párjával, az Ikarus 66-ossal már nemcsak idehaza és a szocialista országok útjain találkozhattak az utazók, hanem például Egyiptomban és Kuvaitban is. A távolsági változatból 7466, a városiból pedig 9260 darabot gyártottak.</w:t>
      </w:r>
    </w:p>
    <w:p w14:paraId="04E37208" w14:textId="0F9E149C" w:rsidR="003B4007" w:rsidRPr="00BB7C26" w:rsidRDefault="003B4007" w:rsidP="007D3D23">
      <w:pPr>
        <w:spacing w:before="120" w:after="0" w:line="240" w:lineRule="auto"/>
        <w:jc w:val="both"/>
        <w:rPr>
          <w:rFonts w:ascii="EB Garamond" w:hAnsi="EB Garamond" w:cs="EB Garamond"/>
          <w:sz w:val="24"/>
          <w:szCs w:val="24"/>
        </w:rPr>
      </w:pPr>
      <w:r w:rsidRPr="00BB7C26">
        <w:rPr>
          <w:rFonts w:ascii="EB Garamond" w:hAnsi="EB Garamond" w:cs="EB Garamond"/>
          <w:sz w:val="24"/>
          <w:szCs w:val="24"/>
        </w:rPr>
        <w:t>Bár ezek a modellek – ahogy az Ikarus többi korabeli gyártmánya is – csak kompromisszumokkal feleltek meg a kor elvárásainak, de tetszetős formájuk, műszaki megoldásaik és évről évre javuló minőségük révén mégis nagy előrelépést jelentettek a magyar járműipar számára.</w:t>
      </w:r>
    </w:p>
    <w:p w14:paraId="249A57BA" w14:textId="44E60562" w:rsidR="003B4007" w:rsidRPr="00BB7C26" w:rsidRDefault="003B4007" w:rsidP="00967724">
      <w:pPr>
        <w:pStyle w:val="Cmsor2"/>
      </w:pPr>
      <w:r w:rsidRPr="00BB7C26">
        <w:t>A 200-as sorozat</w:t>
      </w:r>
    </w:p>
    <w:p w14:paraId="50244499" w14:textId="78759BB7" w:rsidR="003B4007" w:rsidRPr="00BB7C26" w:rsidRDefault="003B4007" w:rsidP="007D3D23">
      <w:pPr>
        <w:spacing w:before="120" w:after="0" w:line="240" w:lineRule="auto"/>
        <w:jc w:val="both"/>
        <w:rPr>
          <w:rFonts w:ascii="EB Garamond" w:hAnsi="EB Garamond" w:cs="EB Garamond"/>
          <w:sz w:val="24"/>
          <w:szCs w:val="24"/>
        </w:rPr>
      </w:pPr>
      <w:r w:rsidRPr="00BB7C26">
        <w:rPr>
          <w:rFonts w:ascii="EB Garamond" w:hAnsi="EB Garamond" w:cs="EB Garamond"/>
          <w:sz w:val="24"/>
          <w:szCs w:val="24"/>
        </w:rPr>
        <w:t>A későbbi sikerekhez azonban még több fontos lépés szükségeltetett. Az egyik ilyen az a döntés volt, melynek során a szocialista országok 1963 elején – hosszas egyeztetéseket követően – hazánk javára lemondtak saját autóbuszgyártásuk egyes részeinek fejlesztéséről, így a magyar buszgyártás a 11–16,5 méter hosszú modellekkel egyeduralkodóvá válhatott.</w:t>
      </w:r>
    </w:p>
    <w:p w14:paraId="1A688D1B" w14:textId="63ECA88C" w:rsidR="003B4007" w:rsidRPr="00BB7C26" w:rsidRDefault="003B4007" w:rsidP="007D3D23">
      <w:pPr>
        <w:spacing w:before="120" w:after="0" w:line="240" w:lineRule="auto"/>
        <w:jc w:val="both"/>
        <w:rPr>
          <w:rFonts w:ascii="EB Garamond" w:hAnsi="EB Garamond" w:cs="EB Garamond"/>
          <w:sz w:val="24"/>
          <w:szCs w:val="24"/>
        </w:rPr>
      </w:pPr>
      <w:r w:rsidRPr="00BB7C26">
        <w:rPr>
          <w:rFonts w:ascii="EB Garamond" w:hAnsi="EB Garamond" w:cs="EB Garamond"/>
          <w:sz w:val="24"/>
          <w:szCs w:val="24"/>
        </w:rPr>
        <w:t xml:space="preserve">Az igazi nagy </w:t>
      </w:r>
      <w:proofErr w:type="spellStart"/>
      <w:r w:rsidRPr="00BB7C26">
        <w:rPr>
          <w:rFonts w:ascii="EB Garamond" w:hAnsi="EB Garamond" w:cs="EB Garamond"/>
          <w:sz w:val="24"/>
          <w:szCs w:val="24"/>
        </w:rPr>
        <w:t>előrelépéshez</w:t>
      </w:r>
      <w:proofErr w:type="spellEnd"/>
      <w:r w:rsidRPr="00BB7C26">
        <w:rPr>
          <w:rFonts w:ascii="EB Garamond" w:hAnsi="EB Garamond" w:cs="EB Garamond"/>
          <w:sz w:val="24"/>
          <w:szCs w:val="24"/>
        </w:rPr>
        <w:t xml:space="preserve"> – leginkább a csuklós és a távolsági típusok kifejlesztéséhez – csak a korszerű és megfelelő teljesítményű erőforrás hiányzott. Ezt a problémát a nyugatnémet MAN gyárral 1966 őszén kötött megállapodás oldotta meg, ezt követően annak a D2156-os erőforrását gyártotta a Rába cég az Ikarus buszok számára.</w:t>
      </w:r>
    </w:p>
    <w:p w14:paraId="37FA1163" w14:textId="0D71CAFB" w:rsidR="003B4007" w:rsidRPr="00BB7C26" w:rsidRDefault="003B4007" w:rsidP="007D3D23">
      <w:pPr>
        <w:spacing w:before="120" w:after="0" w:line="240" w:lineRule="auto"/>
        <w:jc w:val="both"/>
        <w:rPr>
          <w:rFonts w:ascii="EB Garamond" w:hAnsi="EB Garamond" w:cs="EB Garamond"/>
          <w:sz w:val="24"/>
          <w:szCs w:val="24"/>
        </w:rPr>
      </w:pPr>
      <w:r w:rsidRPr="00BB7C26">
        <w:rPr>
          <w:rFonts w:ascii="EB Garamond" w:hAnsi="EB Garamond" w:cs="EB Garamond"/>
          <w:sz w:val="24"/>
          <w:szCs w:val="24"/>
        </w:rPr>
        <w:t>Az 1967 májusában, a Budapesti Nemzetközi Vásáron bemutatott Ikarus 250-es távolsági autóbusz a gyár – és a magyar járműgyártás – történelmének eddigi legsikeresebb fejezetét nyitotta meg. A 200-as család néven ismertté vált típussor több mint három évtizedes pályafutása alatt a világ legnagyobb darabszámban gyártott autóbusz-sorozata lett, hírnevet és rangot szerezve a magyar közúti járműgyártásnak Ázsiában és Európában éppúgy, mint Észak- és Dél-Amerikában vagy Afrikában.</w:t>
      </w:r>
    </w:p>
    <w:p w14:paraId="0F79CEDF" w14:textId="67139601" w:rsidR="003B4007" w:rsidRPr="00BB7C26" w:rsidRDefault="00F92A9B" w:rsidP="007D3D23">
      <w:pPr>
        <w:spacing w:before="120" w:after="0" w:line="240" w:lineRule="auto"/>
        <w:jc w:val="both"/>
        <w:rPr>
          <w:rFonts w:ascii="EB Garamond" w:hAnsi="EB Garamond" w:cs="EB Garamond"/>
          <w:sz w:val="24"/>
          <w:szCs w:val="24"/>
        </w:rPr>
      </w:pPr>
      <w:r w:rsidRPr="00F92A9B">
        <w:rPr>
          <w:rFonts w:ascii="EB Garamond" w:hAnsi="EB Garamond" w:cs="EB Garamond"/>
          <w:noProof/>
          <w:sz w:val="24"/>
          <w:szCs w:val="24"/>
        </w:rPr>
        <w:lastRenderedPageBreak/>
        <mc:AlternateContent>
          <mc:Choice Requires="wps">
            <w:drawing>
              <wp:anchor distT="45720" distB="45720" distL="114300" distR="114300" simplePos="0" relativeHeight="251661312" behindDoc="0" locked="0" layoutInCell="1" allowOverlap="1" wp14:anchorId="552E9839" wp14:editId="4FDE1C5C">
                <wp:simplePos x="0" y="0"/>
                <wp:positionH relativeFrom="margin">
                  <wp:align>left</wp:align>
                </wp:positionH>
                <wp:positionV relativeFrom="margin">
                  <wp:align>top</wp:align>
                </wp:positionV>
                <wp:extent cx="2159635" cy="1404620"/>
                <wp:effectExtent l="0" t="0" r="12065" b="2286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635" cy="1404620"/>
                        </a:xfrm>
                        <a:prstGeom prst="rect">
                          <a:avLst/>
                        </a:prstGeom>
                        <a:solidFill>
                          <a:srgbClr val="FFFFFF"/>
                        </a:solidFill>
                        <a:ln w="9525">
                          <a:solidFill>
                            <a:srgbClr val="000000"/>
                          </a:solidFill>
                          <a:miter lim="800000"/>
                          <a:headEnd/>
                          <a:tailEnd/>
                        </a:ln>
                      </wps:spPr>
                      <wps:txbx>
                        <w:txbxContent>
                          <w:p w14:paraId="3EE09556" w14:textId="4FAAB97E" w:rsidR="00F92A9B" w:rsidRPr="00F66AD6" w:rsidRDefault="00F66AD6" w:rsidP="00F66AD6">
                            <w:pPr>
                              <w:spacing w:before="120" w:after="0" w:line="240" w:lineRule="auto"/>
                              <w:jc w:val="center"/>
                              <w:rPr>
                                <w:rFonts w:ascii="Open Sans" w:hAnsi="Open Sans" w:cs="Open Sans"/>
                                <w:b/>
                                <w:sz w:val="20"/>
                                <w:szCs w:val="20"/>
                              </w:rPr>
                            </w:pPr>
                            <w:r w:rsidRPr="00F66AD6">
                              <w:rPr>
                                <w:rFonts w:ascii="EB Garamond" w:hAnsi="EB Garamond" w:cs="EB Garamond"/>
                                <w:b/>
                                <w:noProof/>
                                <w:sz w:val="24"/>
                                <w:szCs w:val="24"/>
                              </w:rPr>
                              <w:drawing>
                                <wp:inline distT="0" distB="0" distL="0" distR="0" wp14:anchorId="2DD7C0F0" wp14:editId="43218F3A">
                                  <wp:extent cx="1967865" cy="147574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ta_1976.jpg"/>
                                          <pic:cNvPicPr/>
                                        </pic:nvPicPr>
                                        <pic:blipFill>
                                          <a:blip r:embed="rId8">
                                            <a:extLst>
                                              <a:ext uri="{28A0092B-C50C-407E-A947-70E740481C1C}">
                                                <a14:useLocalDpi xmlns:a14="http://schemas.microsoft.com/office/drawing/2010/main" val="0"/>
                                              </a:ext>
                                            </a:extLst>
                                          </a:blip>
                                          <a:stretch>
                                            <a:fillRect/>
                                          </a:stretch>
                                        </pic:blipFill>
                                        <pic:spPr>
                                          <a:xfrm>
                                            <a:off x="0" y="0"/>
                                            <a:ext cx="1967865" cy="1475740"/>
                                          </a:xfrm>
                                          <a:prstGeom prst="rect">
                                            <a:avLst/>
                                          </a:prstGeom>
                                        </pic:spPr>
                                      </pic:pic>
                                    </a:graphicData>
                                  </a:graphic>
                                </wp:inline>
                              </w:drawing>
                            </w:r>
                            <w:r w:rsidR="00F92A9B" w:rsidRPr="00F66AD6">
                              <w:rPr>
                                <w:rFonts w:ascii="Open Sans" w:hAnsi="Open Sans" w:cs="Open Sans"/>
                                <w:b/>
                                <w:sz w:val="20"/>
                                <w:szCs w:val="20"/>
                              </w:rPr>
                              <w:t>Finta László (1934-2018)</w:t>
                            </w:r>
                          </w:p>
                          <w:p w14:paraId="48CDDDA2" w14:textId="77777777" w:rsidR="00F92A9B" w:rsidRPr="00F66AD6" w:rsidRDefault="00F92A9B" w:rsidP="00F92A9B">
                            <w:pPr>
                              <w:spacing w:before="120" w:after="0" w:line="240" w:lineRule="auto"/>
                              <w:jc w:val="both"/>
                              <w:rPr>
                                <w:rFonts w:ascii="Open Sans" w:hAnsi="Open Sans" w:cs="Open Sans"/>
                                <w:sz w:val="20"/>
                                <w:szCs w:val="20"/>
                              </w:rPr>
                            </w:pPr>
                            <w:r w:rsidRPr="00F66AD6">
                              <w:rPr>
                                <w:rFonts w:ascii="Open Sans" w:hAnsi="Open Sans" w:cs="Open Sans"/>
                                <w:sz w:val="20"/>
                                <w:szCs w:val="20"/>
                              </w:rPr>
                              <w:t>Munkácsy Mihály- és Jedlik Ányos-díjas formatervező, aki az Ikarus 200-as sorozat alakját megtervezte.</w:t>
                            </w:r>
                          </w:p>
                          <w:p w14:paraId="48197386" w14:textId="751BD046" w:rsidR="00F92A9B" w:rsidRPr="00F66AD6" w:rsidRDefault="00F92A9B" w:rsidP="00F92A9B">
                            <w:pPr>
                              <w:spacing w:before="120" w:after="0" w:line="240" w:lineRule="auto"/>
                              <w:jc w:val="both"/>
                              <w:rPr>
                                <w:rFonts w:ascii="Open Sans" w:hAnsi="Open Sans" w:cs="Open Sans"/>
                                <w:sz w:val="20"/>
                                <w:szCs w:val="20"/>
                              </w:rPr>
                            </w:pPr>
                            <w:r w:rsidRPr="00F66AD6">
                              <w:rPr>
                                <w:rFonts w:ascii="Open Sans" w:hAnsi="Open Sans" w:cs="Open Sans"/>
                                <w:sz w:val="20"/>
                                <w:szCs w:val="20"/>
                              </w:rPr>
                              <w:t>Hosszú évekig vezette az Ikarus formatervező részlegét.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52E9839" id="_x0000_t202" coordsize="21600,21600" o:spt="202" path="m,l,21600r21600,l21600,xe">
                <v:stroke joinstyle="miter"/>
                <v:path gradientshapeok="t" o:connecttype="rect"/>
              </v:shapetype>
              <v:shape id="Szövegdoboz 2" o:spid="_x0000_s1026" type="#_x0000_t202" style="position:absolute;left:0;text-align:left;margin-left:0;margin-top:0;width:170.05pt;height:110.6pt;z-index:251661312;visibility:visible;mso-wrap-style:square;mso-width-percent:0;mso-height-percent:200;mso-wrap-distance-left:9pt;mso-wrap-distance-top:3.6pt;mso-wrap-distance-right:9pt;mso-wrap-distance-bottom:3.6pt;mso-position-horizontal:left;mso-position-horizontal-relative:margin;mso-position-vertical:top;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">
                <v:textbox style="mso-fit-shape-to-text:t">
                  <w:txbxContent>
                    <w:p w14:paraId="3EE09556" w14:textId="4FAAB97E" w:rsidR="00F92A9B" w:rsidRPr="00F66AD6" w:rsidRDefault="00F66AD6" w:rsidP="00F66AD6">
                      <w:pPr>
                        <w:spacing w:before="120" w:after="0" w:line="240" w:lineRule="auto"/>
                        <w:jc w:val="center"/>
                        <w:rPr>
                          <w:rFonts w:ascii="Open Sans" w:hAnsi="Open Sans" w:cs="Open Sans"/>
                          <w:b/>
                          <w:sz w:val="20"/>
                          <w:szCs w:val="20"/>
                        </w:rPr>
                      </w:pPr>
                      <w:r w:rsidRPr="00F66AD6">
                        <w:rPr>
                          <w:rFonts w:ascii="EB Garamond" w:hAnsi="EB Garamond" w:cs="EB Garamond"/>
                          <w:b/>
                          <w:noProof/>
                          <w:sz w:val="24"/>
                          <w:szCs w:val="24"/>
                        </w:rPr>
                        <w:drawing>
                          <wp:inline distT="0" distB="0" distL="0" distR="0" wp14:anchorId="2DD7C0F0" wp14:editId="43218F3A">
                            <wp:extent cx="1967865" cy="147574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ta_1976.jpg"/>
                                    <pic:cNvPicPr/>
                                  </pic:nvPicPr>
                                  <pic:blipFill>
                                    <a:blip r:embed="rId8">
                                      <a:extLst>
                                        <a:ext uri="{28A0092B-C50C-407E-A947-70E740481C1C}">
                                          <a14:useLocalDpi xmlns:a14="http://schemas.microsoft.com/office/drawing/2010/main" val="0"/>
                                        </a:ext>
                                      </a:extLst>
                                    </a:blip>
                                    <a:stretch>
                                      <a:fillRect/>
                                    </a:stretch>
                                  </pic:blipFill>
                                  <pic:spPr>
                                    <a:xfrm>
                                      <a:off x="0" y="0"/>
                                      <a:ext cx="1967865" cy="1475740"/>
                                    </a:xfrm>
                                    <a:prstGeom prst="rect">
                                      <a:avLst/>
                                    </a:prstGeom>
                                  </pic:spPr>
                                </pic:pic>
                              </a:graphicData>
                            </a:graphic>
                          </wp:inline>
                        </w:drawing>
                      </w:r>
                      <w:r w:rsidR="00F92A9B" w:rsidRPr="00F66AD6">
                        <w:rPr>
                          <w:rFonts w:ascii="Open Sans" w:hAnsi="Open Sans" w:cs="Open Sans"/>
                          <w:b/>
                          <w:sz w:val="20"/>
                          <w:szCs w:val="20"/>
                        </w:rPr>
                        <w:t>Finta László (1934-2018)</w:t>
                      </w:r>
                    </w:p>
                    <w:p w14:paraId="48CDDDA2" w14:textId="77777777" w:rsidR="00F92A9B" w:rsidRPr="00F66AD6" w:rsidRDefault="00F92A9B" w:rsidP="00F92A9B">
                      <w:pPr>
                        <w:spacing w:before="120" w:after="0" w:line="240" w:lineRule="auto"/>
                        <w:jc w:val="both"/>
                        <w:rPr>
                          <w:rFonts w:ascii="Open Sans" w:hAnsi="Open Sans" w:cs="Open Sans"/>
                          <w:sz w:val="20"/>
                          <w:szCs w:val="20"/>
                        </w:rPr>
                      </w:pPr>
                      <w:r w:rsidRPr="00F66AD6">
                        <w:rPr>
                          <w:rFonts w:ascii="Open Sans" w:hAnsi="Open Sans" w:cs="Open Sans"/>
                          <w:sz w:val="20"/>
                          <w:szCs w:val="20"/>
                        </w:rPr>
                        <w:t>Munkácsy Mihály- és Jedlik Ányos-díjas formatervező, aki az Ikarus 200-as sorozat alakját megtervezte.</w:t>
                      </w:r>
                    </w:p>
                    <w:p w14:paraId="48197386" w14:textId="751BD046" w:rsidR="00F92A9B" w:rsidRPr="00F66AD6" w:rsidRDefault="00F92A9B" w:rsidP="00F92A9B">
                      <w:pPr>
                        <w:spacing w:before="120" w:after="0" w:line="240" w:lineRule="auto"/>
                        <w:jc w:val="both"/>
                        <w:rPr>
                          <w:rFonts w:ascii="Open Sans" w:hAnsi="Open Sans" w:cs="Open Sans"/>
                          <w:sz w:val="20"/>
                          <w:szCs w:val="20"/>
                        </w:rPr>
                      </w:pPr>
                      <w:r w:rsidRPr="00F66AD6">
                        <w:rPr>
                          <w:rFonts w:ascii="Open Sans" w:hAnsi="Open Sans" w:cs="Open Sans"/>
                          <w:sz w:val="20"/>
                          <w:szCs w:val="20"/>
                        </w:rPr>
                        <w:t>Hosszú évekig vezette az Ikarus formatervező részlegét.</w:t>
                      </w:r>
                    </w:p>
                  </w:txbxContent>
                </v:textbox>
                <w10:wrap type="square" anchorx="margin" anchory="margin"/>
              </v:shape>
            </w:pict>
          </mc:Fallback>
        </mc:AlternateContent>
      </w:r>
      <w:r w:rsidR="003B4007" w:rsidRPr="00BB7C26">
        <w:rPr>
          <w:rFonts w:ascii="EB Garamond" w:hAnsi="EB Garamond" w:cs="EB Garamond"/>
          <w:sz w:val="24"/>
          <w:szCs w:val="24"/>
        </w:rPr>
        <w:t>Az új modellcsalád tervezésekor az egységes családelv – azaz az azonos elemekből megvalósított városi, elővárosi, távolsági és csuklós autóbuszok – mellett az esztétikus forma is hangsúlyt kapott: a 200-as karosszéria igazi vívmánya, hogy sikerült a szögletes kialakítást (amelyet az utastér lehető leggazdaságosabb kialakítása indokol) ötvözni a lágyabb vonalvezetéssel, egy szinte időtlen, a mai napig esztétikusnak ható megjelenést eredményezve.</w:t>
      </w:r>
    </w:p>
    <w:p w14:paraId="4F01F490" w14:textId="2A209859" w:rsidR="003B4007" w:rsidRPr="00BB7C26" w:rsidRDefault="003B4007" w:rsidP="007D3D23">
      <w:pPr>
        <w:spacing w:before="120" w:after="0" w:line="240" w:lineRule="auto"/>
        <w:jc w:val="both"/>
        <w:rPr>
          <w:rFonts w:ascii="EB Garamond" w:hAnsi="EB Garamond" w:cs="EB Garamond"/>
          <w:sz w:val="24"/>
          <w:szCs w:val="24"/>
        </w:rPr>
      </w:pPr>
      <w:r w:rsidRPr="00BB7C26">
        <w:rPr>
          <w:rFonts w:ascii="EB Garamond" w:hAnsi="EB Garamond" w:cs="EB Garamond"/>
          <w:sz w:val="24"/>
          <w:szCs w:val="24"/>
        </w:rPr>
        <w:t>Az akkoriban szokatlanul nagynak számító ablakfelületek – innen ered a 200-asokat sokáig kísérő panorámabusz elnevezés – az elegáns, de mértéktartó díszítések és a buszok szemnek is kellemes arányai mind ezt a célt szolgálták. A család tagjai közötti maximális egységesítés jelentős előnyt nyújtott mind a nagy darabszámban történő gazdaságos sorozatgyártásban, mind az üzemeltetési oldalon a pótalkatrész-ellátás és szerviz szempontjából.</w:t>
      </w:r>
    </w:p>
    <w:p w14:paraId="191010F5" w14:textId="3F81493A" w:rsidR="003B4007" w:rsidRPr="00BB7C26" w:rsidRDefault="004022A8" w:rsidP="007D3D23">
      <w:pPr>
        <w:spacing w:before="120" w:after="0" w:line="240" w:lineRule="auto"/>
        <w:jc w:val="both"/>
        <w:rPr>
          <w:rFonts w:ascii="EB Garamond" w:hAnsi="EB Garamond" w:cs="EB Garamond"/>
          <w:sz w:val="24"/>
          <w:szCs w:val="24"/>
        </w:rPr>
      </w:pPr>
      <w:bookmarkStart w:id="0" w:name="_GoBack"/>
      <w:r>
        <w:rPr>
          <w:rFonts w:ascii="EB Garamond" w:hAnsi="EB Garamond" w:cs="EB Garamond"/>
          <w:noProof/>
          <w:sz w:val="24"/>
          <w:szCs w:val="24"/>
        </w:rPr>
        <w:drawing>
          <wp:anchor distT="0" distB="0" distL="144145" distR="114300" simplePos="0" relativeHeight="251658240" behindDoc="1" locked="0" layoutInCell="1" allowOverlap="1" wp14:anchorId="30C6BEEC" wp14:editId="1F435FBC">
            <wp:simplePos x="0" y="0"/>
            <wp:positionH relativeFrom="margin">
              <wp:posOffset>3126740</wp:posOffset>
            </wp:positionH>
            <wp:positionV relativeFrom="paragraph">
              <wp:posOffset>23495</wp:posOffset>
            </wp:positionV>
            <wp:extent cx="2700000" cy="3783600"/>
            <wp:effectExtent l="0" t="0" r="5715" b="7620"/>
            <wp:wrapTight wrapText="bothSides">
              <wp:wrapPolygon edited="0">
                <wp:start x="0" y="0"/>
                <wp:lineTo x="0" y="21535"/>
                <wp:lineTo x="21493" y="21535"/>
                <wp:lineTo x="21493"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60_280.jpg"/>
                    <pic:cNvPicPr/>
                  </pic:nvPicPr>
                  <pic:blipFill>
                    <a:blip r:embed="rId9">
                      <a:extLst>
                        <a:ext uri="{28A0092B-C50C-407E-A947-70E740481C1C}">
                          <a14:useLocalDpi xmlns:a14="http://schemas.microsoft.com/office/drawing/2010/main" val="0"/>
                        </a:ext>
                      </a:extLst>
                    </a:blip>
                    <a:stretch>
                      <a:fillRect/>
                    </a:stretch>
                  </pic:blipFill>
                  <pic:spPr>
                    <a:xfrm>
                      <a:off x="0" y="0"/>
                      <a:ext cx="2700000" cy="3783600"/>
                    </a:xfrm>
                    <a:prstGeom prst="rect">
                      <a:avLst/>
                    </a:prstGeom>
                  </pic:spPr>
                </pic:pic>
              </a:graphicData>
            </a:graphic>
            <wp14:sizeRelH relativeFrom="page">
              <wp14:pctWidth>0</wp14:pctWidth>
            </wp14:sizeRelH>
            <wp14:sizeRelV relativeFrom="page">
              <wp14:pctHeight>0</wp14:pctHeight>
            </wp14:sizeRelV>
          </wp:anchor>
        </w:drawing>
      </w:r>
      <w:bookmarkEnd w:id="0"/>
      <w:r w:rsidR="003B4007" w:rsidRPr="00BB7C26">
        <w:rPr>
          <w:rFonts w:ascii="EB Garamond" w:hAnsi="EB Garamond" w:cs="EB Garamond"/>
          <w:sz w:val="24"/>
          <w:szCs w:val="24"/>
        </w:rPr>
        <w:t>A típuscsalád két városi alaptagja, a szóló 260-as és a csuklós 280-as – a padló alatt elhelyezett, középmotoros elrendezés miatti magas padlószint ellenére – nemzetközi szinten is máig példátlan sikereket és darabszámot ért el: előbbiből több mint 72 ezer, míg az utóbbiból közel 61 ezer példány készült a gyártás 30 éve alatt, ezek az adatok az autóbusziparban hatalmas számokat jelentenek.</w:t>
      </w:r>
    </w:p>
    <w:p w14:paraId="186735E9" w14:textId="3050223D" w:rsidR="003B4007" w:rsidRPr="00BB7C26" w:rsidRDefault="003B4007" w:rsidP="007D3D23">
      <w:pPr>
        <w:spacing w:before="120" w:after="0" w:line="240" w:lineRule="auto"/>
        <w:jc w:val="both"/>
        <w:rPr>
          <w:rFonts w:ascii="EB Garamond" w:hAnsi="EB Garamond" w:cs="EB Garamond"/>
          <w:sz w:val="24"/>
          <w:szCs w:val="24"/>
        </w:rPr>
      </w:pPr>
      <w:r w:rsidRPr="00BB7C26">
        <w:rPr>
          <w:rFonts w:ascii="EB Garamond" w:hAnsi="EB Garamond" w:cs="EB Garamond"/>
          <w:sz w:val="24"/>
          <w:szCs w:val="24"/>
        </w:rPr>
        <w:t>A szocialista országok mellett például Venezuelában, Ecuadorban, Tajvanban, Törökországban, Görögországban vagy Tunéziában is nagy számban közlekedtek. Az összes országot, ahová eljutottak, még felsorolni is hosszú lenne.</w:t>
      </w:r>
    </w:p>
    <w:p w14:paraId="4A8BFA3E" w14:textId="77777777" w:rsidR="003B4007" w:rsidRPr="00BB7C26" w:rsidRDefault="003B4007" w:rsidP="007D3D23">
      <w:pPr>
        <w:spacing w:before="120" w:after="0" w:line="240" w:lineRule="auto"/>
        <w:jc w:val="both"/>
        <w:rPr>
          <w:rFonts w:ascii="EB Garamond" w:hAnsi="EB Garamond" w:cs="EB Garamond"/>
          <w:sz w:val="24"/>
          <w:szCs w:val="24"/>
        </w:rPr>
      </w:pPr>
      <w:r w:rsidRPr="00BB7C26">
        <w:rPr>
          <w:rFonts w:ascii="EB Garamond" w:hAnsi="EB Garamond" w:cs="EB Garamond"/>
          <w:sz w:val="24"/>
          <w:szCs w:val="24"/>
        </w:rPr>
        <w:t>Az évek során a 200-as család a kisebb-nagyobb korszerűsítések, módosítások mellett folyamatosan újabb modellekkel gazdagodott, a 8,5 méteres midi autóbuszoktól a 18 méteres csuklósokig, alkalmazkodva a különböző piaci igényekhez.</w:t>
      </w:r>
    </w:p>
    <w:p w14:paraId="770C0B1D" w14:textId="77777777" w:rsidR="003B4007" w:rsidRPr="00BB7C26" w:rsidRDefault="003B4007" w:rsidP="007D3D23">
      <w:pPr>
        <w:spacing w:before="120" w:after="0" w:line="240" w:lineRule="auto"/>
        <w:jc w:val="both"/>
        <w:rPr>
          <w:rFonts w:ascii="EB Garamond" w:hAnsi="EB Garamond" w:cs="EB Garamond"/>
          <w:sz w:val="24"/>
          <w:szCs w:val="24"/>
        </w:rPr>
      </w:pPr>
      <w:r w:rsidRPr="00BB7C26">
        <w:rPr>
          <w:rFonts w:ascii="EB Garamond" w:hAnsi="EB Garamond" w:cs="EB Garamond"/>
          <w:sz w:val="24"/>
          <w:szCs w:val="24"/>
        </w:rPr>
        <w:t xml:space="preserve">Többek között elkészült az alacsonyabb padlószintet lehetővé tevő tolócsuklós változat, egy magyar fejlesztésű újdonsággal, a </w:t>
      </w:r>
      <w:proofErr w:type="spellStart"/>
      <w:r w:rsidRPr="00BB7C26">
        <w:rPr>
          <w:rFonts w:ascii="EB Garamond" w:hAnsi="EB Garamond" w:cs="EB Garamond"/>
          <w:sz w:val="24"/>
          <w:szCs w:val="24"/>
        </w:rPr>
        <w:t>becsuklásgátlóval</w:t>
      </w:r>
      <w:proofErr w:type="spellEnd"/>
      <w:r w:rsidRPr="00BB7C26">
        <w:rPr>
          <w:rFonts w:ascii="EB Garamond" w:hAnsi="EB Garamond" w:cs="EB Garamond"/>
          <w:sz w:val="24"/>
          <w:szCs w:val="24"/>
        </w:rPr>
        <w:t>, illetve a megnövelt hosszúságú, 12 és 18 méteres városi autóbuszok. A gyár mindeközben figyelmet fordított az ENSZ EGB aktuális előírásainak betartására is, és úttörő szerepet játszott az autóbuszok biztonságának javításában is.</w:t>
      </w:r>
    </w:p>
    <w:p w14:paraId="24135BA3" w14:textId="77777777" w:rsidR="003B4007" w:rsidRPr="00BB7C26" w:rsidRDefault="003B4007" w:rsidP="007D3D23">
      <w:pPr>
        <w:spacing w:before="120" w:after="0" w:line="240" w:lineRule="auto"/>
        <w:jc w:val="both"/>
        <w:rPr>
          <w:rFonts w:ascii="EB Garamond" w:hAnsi="EB Garamond" w:cs="EB Garamond"/>
          <w:sz w:val="24"/>
          <w:szCs w:val="24"/>
        </w:rPr>
      </w:pPr>
      <w:r w:rsidRPr="00BB7C26">
        <w:rPr>
          <w:rFonts w:ascii="EB Garamond" w:hAnsi="EB Garamond" w:cs="EB Garamond"/>
          <w:sz w:val="24"/>
          <w:szCs w:val="24"/>
        </w:rPr>
        <w:t xml:space="preserve">A 200-as modellek – a vásárlói igényektől függően – egyebek mellett eredeti MAN vagy </w:t>
      </w:r>
      <w:proofErr w:type="spellStart"/>
      <w:r w:rsidRPr="00BB7C26">
        <w:rPr>
          <w:rFonts w:ascii="EB Garamond" w:hAnsi="EB Garamond" w:cs="EB Garamond"/>
          <w:sz w:val="24"/>
          <w:szCs w:val="24"/>
        </w:rPr>
        <w:t>Cummins</w:t>
      </w:r>
      <w:proofErr w:type="spellEnd"/>
      <w:r w:rsidRPr="00BB7C26">
        <w:rPr>
          <w:rFonts w:ascii="EB Garamond" w:hAnsi="EB Garamond" w:cs="EB Garamond"/>
          <w:sz w:val="24"/>
          <w:szCs w:val="24"/>
        </w:rPr>
        <w:t xml:space="preserve"> erőforrásokkal is elérhetőek voltak. Hasonló módon az egyéb főegységek választékában eleinte korlátozottan, később már minden megrendelő számára elérhetővé váltak neves nyugati gyártók termékei is. A gyár emellett folyamatosan olyan műszaki újításokat vezetett be, mint például a ragasztott üvegek </w:t>
      </w:r>
      <w:r w:rsidRPr="00BB7C26">
        <w:rPr>
          <w:rFonts w:ascii="EB Garamond" w:hAnsi="EB Garamond" w:cs="EB Garamond"/>
          <w:sz w:val="24"/>
          <w:szCs w:val="24"/>
        </w:rPr>
        <w:lastRenderedPageBreak/>
        <w:t>alkalmazása a hetvenes évek derekán, amelyet azonban költségesebb szervizelése miatt sokáig csak az igényes exportpiacokat megcélzó járműveken alkalmaztak.</w:t>
      </w:r>
    </w:p>
    <w:p w14:paraId="15AF38AF" w14:textId="77777777" w:rsidR="003B4007" w:rsidRPr="00BB7C26" w:rsidRDefault="003B4007" w:rsidP="007D3D23">
      <w:pPr>
        <w:spacing w:before="120" w:after="0" w:line="240" w:lineRule="auto"/>
        <w:jc w:val="both"/>
        <w:rPr>
          <w:rFonts w:ascii="EB Garamond" w:hAnsi="EB Garamond" w:cs="EB Garamond"/>
          <w:sz w:val="24"/>
          <w:szCs w:val="24"/>
        </w:rPr>
      </w:pPr>
      <w:r w:rsidRPr="00BB7C26">
        <w:rPr>
          <w:rFonts w:ascii="EB Garamond" w:hAnsi="EB Garamond" w:cs="EB Garamond"/>
          <w:sz w:val="24"/>
          <w:szCs w:val="24"/>
        </w:rPr>
        <w:t>A kétszázezredik 200-as Ikarus autóbusz 1993-ban készült el, az utolsó, a családhoz tartozó járművek pedig 2003-ban hagyták el a gyárcsarnokot.</w:t>
      </w:r>
    </w:p>
    <w:p w14:paraId="7E1E5B73" w14:textId="77777777" w:rsidR="003B4007" w:rsidRPr="00BB7C26" w:rsidRDefault="003B4007" w:rsidP="007D3D23">
      <w:pPr>
        <w:spacing w:before="120" w:after="0" w:line="240" w:lineRule="auto"/>
        <w:jc w:val="both"/>
        <w:rPr>
          <w:rFonts w:ascii="EB Garamond" w:hAnsi="EB Garamond" w:cs="EB Garamond"/>
          <w:sz w:val="24"/>
          <w:szCs w:val="24"/>
        </w:rPr>
      </w:pPr>
      <w:r w:rsidRPr="00BB7C26">
        <w:rPr>
          <w:rFonts w:ascii="EB Garamond" w:hAnsi="EB Garamond" w:cs="EB Garamond"/>
          <w:sz w:val="24"/>
          <w:szCs w:val="24"/>
        </w:rPr>
        <w:t>Az Ikarus a nagy, több száz vagy ezres nagyságrendben gyártott sorozatok mellett éppúgy ki tudta szolgálni a néhány darabos megrendeléssel kopogtatókat is. Így juthattak minden elképzelhető luxussal felszerelt Ikarus autóbuszokhoz arab országok méltóságai, vagy találkozhatott Nyugat-Európa és Skandinávia útjain magyar autóbuszokkal az utazni vágyó.</w:t>
      </w:r>
    </w:p>
    <w:p w14:paraId="6DA74EB9" w14:textId="77777777" w:rsidR="003B4007" w:rsidRPr="00BB7C26" w:rsidRDefault="003B4007" w:rsidP="007D3D23">
      <w:pPr>
        <w:spacing w:before="120" w:after="0" w:line="240" w:lineRule="auto"/>
        <w:jc w:val="both"/>
        <w:rPr>
          <w:rFonts w:ascii="EB Garamond" w:hAnsi="EB Garamond" w:cs="EB Garamond"/>
          <w:sz w:val="24"/>
          <w:szCs w:val="24"/>
        </w:rPr>
      </w:pPr>
      <w:r w:rsidRPr="00BB7C26">
        <w:rPr>
          <w:rFonts w:ascii="EB Garamond" w:hAnsi="EB Garamond" w:cs="EB Garamond"/>
          <w:sz w:val="24"/>
          <w:szCs w:val="24"/>
        </w:rPr>
        <w:t xml:space="preserve">A kilencvenes évekre a 200-as család túlzott sikere és a kereslet szinte bebetonozta a gyár termékkínálatát, ugyanis a hagyományos exportpiacok az újonnan kifejlesztett 300-as és 400-as család helyett még mindig az elavult, de kedvező </w:t>
      </w:r>
      <w:proofErr w:type="spellStart"/>
      <w:r w:rsidRPr="00BB7C26">
        <w:rPr>
          <w:rFonts w:ascii="EB Garamond" w:hAnsi="EB Garamond" w:cs="EB Garamond"/>
          <w:sz w:val="24"/>
          <w:szCs w:val="24"/>
        </w:rPr>
        <w:t>árfekvésű</w:t>
      </w:r>
      <w:proofErr w:type="spellEnd"/>
      <w:r w:rsidRPr="00BB7C26">
        <w:rPr>
          <w:rFonts w:ascii="EB Garamond" w:hAnsi="EB Garamond" w:cs="EB Garamond"/>
          <w:sz w:val="24"/>
          <w:szCs w:val="24"/>
        </w:rPr>
        <w:t xml:space="preserve"> és egyszerűbben üzemeltethető, karbantartható 200-asokra tartottak igényt, amelyek még ekkor is olyan piacokat hódítottak meg, mint például Tajvan.</w:t>
      </w:r>
    </w:p>
    <w:p w14:paraId="46840A77" w14:textId="77777777" w:rsidR="003B4007" w:rsidRPr="00BB7C26" w:rsidRDefault="003B4007" w:rsidP="00967724">
      <w:pPr>
        <w:pStyle w:val="Cmsor2"/>
      </w:pPr>
      <w:r w:rsidRPr="00BB7C26">
        <w:t>A magyar multi</w:t>
      </w:r>
    </w:p>
    <w:p w14:paraId="5292496D" w14:textId="77777777" w:rsidR="003B4007" w:rsidRPr="00BB7C26" w:rsidRDefault="003B4007" w:rsidP="007D3D23">
      <w:pPr>
        <w:spacing w:before="120" w:after="0" w:line="240" w:lineRule="auto"/>
        <w:jc w:val="both"/>
        <w:rPr>
          <w:rFonts w:ascii="EB Garamond" w:hAnsi="EB Garamond" w:cs="EB Garamond"/>
          <w:sz w:val="24"/>
          <w:szCs w:val="24"/>
        </w:rPr>
      </w:pPr>
      <w:r w:rsidRPr="00BB7C26">
        <w:rPr>
          <w:rFonts w:ascii="EB Garamond" w:hAnsi="EB Garamond" w:cs="EB Garamond"/>
          <w:sz w:val="24"/>
          <w:szCs w:val="24"/>
        </w:rPr>
        <w:t>Itthon a termelés az Ikarus négy üzemében zajlott, Mátyásföldön és Székesfehérvárott az autóbuszok összeszerelése történt, míg a Mórhoz közeli Pusztavámon az ülésgyártás, Szegeden pedig az ajtók, kapaszkodók és egyéb fém alkatrészek gyártása folyt. A fenékvázakat és kormányműveket a Csepel Autógyár szállította, a futóművek egy része és a motorok pedig a győri Rábából érkeztek. A székesfehérvári gyárat egyébként a nyolcvanas években Európa egyik legkorszerűbb és legnagyobb termelési kapacitású autóbuszgyártó üzemeként tartották számon.</w:t>
      </w:r>
    </w:p>
    <w:p w14:paraId="5117BE67" w14:textId="77777777" w:rsidR="003B4007" w:rsidRPr="00BB7C26" w:rsidRDefault="003B4007" w:rsidP="007D3D23">
      <w:pPr>
        <w:spacing w:before="120" w:after="0" w:line="240" w:lineRule="auto"/>
        <w:jc w:val="both"/>
        <w:rPr>
          <w:rFonts w:ascii="EB Garamond" w:hAnsi="EB Garamond" w:cs="EB Garamond"/>
          <w:sz w:val="24"/>
          <w:szCs w:val="24"/>
        </w:rPr>
      </w:pPr>
      <w:r w:rsidRPr="00BB7C26">
        <w:rPr>
          <w:rFonts w:ascii="EB Garamond" w:hAnsi="EB Garamond" w:cs="EB Garamond"/>
          <w:sz w:val="24"/>
          <w:szCs w:val="24"/>
        </w:rPr>
        <w:t>A termelés azonban nemcsak idehaza zajlott, Ikarus autóbuszok készültek szerte a világban a Magyarországról szállított elemek, alkatrészek felhasználásával, jelentős know-how-t is exportálva. Az évek során kisebb-nagyobb tételekben Ikarus buszok összeszerelése folyt Kubában, Kínában, Irakban, Líbiában, Egyiptomban, Görögországban vagy az Egyesült Államokban.</w:t>
      </w:r>
    </w:p>
    <w:p w14:paraId="16F04D29" w14:textId="77777777" w:rsidR="003B4007" w:rsidRPr="00BB7C26" w:rsidRDefault="003B4007" w:rsidP="007D3D23">
      <w:pPr>
        <w:spacing w:before="120" w:after="0" w:line="240" w:lineRule="auto"/>
        <w:jc w:val="both"/>
        <w:rPr>
          <w:rFonts w:ascii="EB Garamond" w:hAnsi="EB Garamond" w:cs="EB Garamond"/>
          <w:sz w:val="24"/>
          <w:szCs w:val="24"/>
        </w:rPr>
      </w:pPr>
      <w:r w:rsidRPr="00BB7C26">
        <w:rPr>
          <w:rFonts w:ascii="EB Garamond" w:hAnsi="EB Garamond" w:cs="EB Garamond"/>
          <w:sz w:val="24"/>
          <w:szCs w:val="24"/>
        </w:rPr>
        <w:t xml:space="preserve">A teljesség igénye nélkül, csak a jelentősebb szériákat figyelembe véve az Ikarus olyan neves gyártók főegységeivel vagy alvázaira </w:t>
      </w:r>
      <w:proofErr w:type="spellStart"/>
      <w:r w:rsidRPr="00BB7C26">
        <w:rPr>
          <w:rFonts w:ascii="EB Garamond" w:hAnsi="EB Garamond" w:cs="EB Garamond"/>
          <w:sz w:val="24"/>
          <w:szCs w:val="24"/>
        </w:rPr>
        <w:t>karosszált</w:t>
      </w:r>
      <w:proofErr w:type="spellEnd"/>
      <w:r w:rsidRPr="00BB7C26">
        <w:rPr>
          <w:rFonts w:ascii="EB Garamond" w:hAnsi="EB Garamond" w:cs="EB Garamond"/>
          <w:sz w:val="24"/>
          <w:szCs w:val="24"/>
        </w:rPr>
        <w:t xml:space="preserve"> autóbuszokat, mint a Volvo, </w:t>
      </w:r>
      <w:proofErr w:type="spellStart"/>
      <w:r w:rsidRPr="00BB7C26">
        <w:rPr>
          <w:rFonts w:ascii="EB Garamond" w:hAnsi="EB Garamond" w:cs="EB Garamond"/>
          <w:sz w:val="24"/>
          <w:szCs w:val="24"/>
        </w:rPr>
        <w:t>Scania</w:t>
      </w:r>
      <w:proofErr w:type="spellEnd"/>
      <w:r w:rsidRPr="00BB7C26">
        <w:rPr>
          <w:rFonts w:ascii="EB Garamond" w:hAnsi="EB Garamond" w:cs="EB Garamond"/>
          <w:sz w:val="24"/>
          <w:szCs w:val="24"/>
        </w:rPr>
        <w:t xml:space="preserve">, </w:t>
      </w:r>
      <w:proofErr w:type="spellStart"/>
      <w:r w:rsidRPr="00BB7C26">
        <w:rPr>
          <w:rFonts w:ascii="EB Garamond" w:hAnsi="EB Garamond" w:cs="EB Garamond"/>
          <w:sz w:val="24"/>
          <w:szCs w:val="24"/>
        </w:rPr>
        <w:t>Steyr-Saurer</w:t>
      </w:r>
      <w:proofErr w:type="spellEnd"/>
      <w:r w:rsidRPr="00BB7C26">
        <w:rPr>
          <w:rFonts w:ascii="EB Garamond" w:hAnsi="EB Garamond" w:cs="EB Garamond"/>
          <w:sz w:val="24"/>
          <w:szCs w:val="24"/>
        </w:rPr>
        <w:t xml:space="preserve">, Renault, </w:t>
      </w:r>
      <w:proofErr w:type="spellStart"/>
      <w:r w:rsidRPr="00BB7C26">
        <w:rPr>
          <w:rFonts w:ascii="EB Garamond" w:hAnsi="EB Garamond" w:cs="EB Garamond"/>
          <w:sz w:val="24"/>
          <w:szCs w:val="24"/>
        </w:rPr>
        <w:t>Bedford</w:t>
      </w:r>
      <w:proofErr w:type="spellEnd"/>
      <w:r w:rsidRPr="00BB7C26">
        <w:rPr>
          <w:rFonts w:ascii="EB Garamond" w:hAnsi="EB Garamond" w:cs="EB Garamond"/>
          <w:sz w:val="24"/>
          <w:szCs w:val="24"/>
        </w:rPr>
        <w:t xml:space="preserve">, </w:t>
      </w:r>
      <w:proofErr w:type="spellStart"/>
      <w:r w:rsidRPr="00BB7C26">
        <w:rPr>
          <w:rFonts w:ascii="EB Garamond" w:hAnsi="EB Garamond" w:cs="EB Garamond"/>
          <w:sz w:val="24"/>
          <w:szCs w:val="24"/>
        </w:rPr>
        <w:t>Isuzu</w:t>
      </w:r>
      <w:proofErr w:type="spellEnd"/>
      <w:r w:rsidRPr="00BB7C26">
        <w:rPr>
          <w:rFonts w:ascii="EB Garamond" w:hAnsi="EB Garamond" w:cs="EB Garamond"/>
          <w:sz w:val="24"/>
          <w:szCs w:val="24"/>
        </w:rPr>
        <w:t xml:space="preserve">, </w:t>
      </w:r>
      <w:proofErr w:type="spellStart"/>
      <w:r w:rsidRPr="00BB7C26">
        <w:rPr>
          <w:rFonts w:ascii="EB Garamond" w:hAnsi="EB Garamond" w:cs="EB Garamond"/>
          <w:sz w:val="24"/>
          <w:szCs w:val="24"/>
        </w:rPr>
        <w:t>Iveco</w:t>
      </w:r>
      <w:proofErr w:type="spellEnd"/>
      <w:r w:rsidRPr="00BB7C26">
        <w:rPr>
          <w:rFonts w:ascii="EB Garamond" w:hAnsi="EB Garamond" w:cs="EB Garamond"/>
          <w:sz w:val="24"/>
          <w:szCs w:val="24"/>
        </w:rPr>
        <w:t>, a Volkswagen vagy a Mercedes. Ez a fajta kooperáció jelentősen kedvezett a műszaki kultúra további fejlődésének.</w:t>
      </w:r>
    </w:p>
    <w:p w14:paraId="1BCCEC46" w14:textId="77777777" w:rsidR="003B4007" w:rsidRPr="00BB7C26" w:rsidRDefault="003B4007" w:rsidP="00967724">
      <w:pPr>
        <w:pStyle w:val="Cmsor2"/>
      </w:pPr>
      <w:r w:rsidRPr="00BB7C26">
        <w:t>A busznagyhatalom számokban</w:t>
      </w:r>
    </w:p>
    <w:p w14:paraId="1F90ECC2" w14:textId="77777777" w:rsidR="003B4007" w:rsidRPr="00BB7C26" w:rsidRDefault="003B4007" w:rsidP="007D3D23">
      <w:pPr>
        <w:spacing w:before="120" w:after="0" w:line="240" w:lineRule="auto"/>
        <w:jc w:val="both"/>
        <w:rPr>
          <w:rFonts w:ascii="EB Garamond" w:hAnsi="EB Garamond" w:cs="EB Garamond"/>
          <w:sz w:val="24"/>
          <w:szCs w:val="24"/>
        </w:rPr>
      </w:pPr>
      <w:r w:rsidRPr="00BB7C26">
        <w:rPr>
          <w:rFonts w:ascii="EB Garamond" w:hAnsi="EB Garamond" w:cs="EB Garamond"/>
          <w:sz w:val="24"/>
          <w:szCs w:val="24"/>
        </w:rPr>
        <w:t>Az 1948-2003 közötti időszakban az Ikarus közel háromszázezer autóbuszt gyártott, ezeknek mintegy 15%-a Magyarországon került forgalomba, 10%-a tőkés és fejlődő piacokon, míg a fennmaradó rész a volt szocialista országokban.</w:t>
      </w:r>
    </w:p>
    <w:p w14:paraId="15D79237" w14:textId="77777777" w:rsidR="003B4007" w:rsidRPr="00BB7C26" w:rsidRDefault="003B4007" w:rsidP="007D3D23">
      <w:pPr>
        <w:spacing w:before="120" w:after="0" w:line="240" w:lineRule="auto"/>
        <w:jc w:val="both"/>
        <w:rPr>
          <w:rFonts w:ascii="EB Garamond" w:hAnsi="EB Garamond" w:cs="EB Garamond"/>
          <w:sz w:val="24"/>
          <w:szCs w:val="24"/>
        </w:rPr>
      </w:pPr>
      <w:r w:rsidRPr="00BB7C26">
        <w:rPr>
          <w:rFonts w:ascii="EB Garamond" w:hAnsi="EB Garamond" w:cs="EB Garamond"/>
          <w:sz w:val="24"/>
          <w:szCs w:val="24"/>
        </w:rPr>
        <w:t xml:space="preserve">Az Ikarus gyártási darabszámai már 1960-ban meghaladták Ausztria és Hollandia teljes autóbusz-termelését, amely országokban olyan neves autóbuszgyártók működtek több évtizede, mint a </w:t>
      </w:r>
      <w:proofErr w:type="spellStart"/>
      <w:r w:rsidRPr="00BB7C26">
        <w:rPr>
          <w:rFonts w:ascii="EB Garamond" w:hAnsi="EB Garamond" w:cs="EB Garamond"/>
          <w:sz w:val="24"/>
          <w:szCs w:val="24"/>
        </w:rPr>
        <w:t>Steyr</w:t>
      </w:r>
      <w:proofErr w:type="spellEnd"/>
      <w:r w:rsidRPr="00BB7C26">
        <w:rPr>
          <w:rFonts w:ascii="EB Garamond" w:hAnsi="EB Garamond" w:cs="EB Garamond"/>
          <w:sz w:val="24"/>
          <w:szCs w:val="24"/>
        </w:rPr>
        <w:t xml:space="preserve">, </w:t>
      </w:r>
      <w:proofErr w:type="spellStart"/>
      <w:r w:rsidRPr="00BB7C26">
        <w:rPr>
          <w:rFonts w:ascii="EB Garamond" w:hAnsi="EB Garamond" w:cs="EB Garamond"/>
          <w:sz w:val="24"/>
          <w:szCs w:val="24"/>
        </w:rPr>
        <w:t>Saurer</w:t>
      </w:r>
      <w:proofErr w:type="spellEnd"/>
      <w:r w:rsidRPr="00BB7C26">
        <w:rPr>
          <w:rFonts w:ascii="EB Garamond" w:hAnsi="EB Garamond" w:cs="EB Garamond"/>
          <w:sz w:val="24"/>
          <w:szCs w:val="24"/>
        </w:rPr>
        <w:t xml:space="preserve"> vagy a </w:t>
      </w:r>
      <w:proofErr w:type="spellStart"/>
      <w:r w:rsidRPr="00BB7C26">
        <w:rPr>
          <w:rFonts w:ascii="EB Garamond" w:hAnsi="EB Garamond" w:cs="EB Garamond"/>
          <w:sz w:val="24"/>
          <w:szCs w:val="24"/>
        </w:rPr>
        <w:t>Berkhof</w:t>
      </w:r>
      <w:proofErr w:type="spellEnd"/>
      <w:r w:rsidRPr="00BB7C26">
        <w:rPr>
          <w:rFonts w:ascii="EB Garamond" w:hAnsi="EB Garamond" w:cs="EB Garamond"/>
          <w:sz w:val="24"/>
          <w:szCs w:val="24"/>
        </w:rPr>
        <w:t>. 1970-re Belgium, Franciaország, Olaszország és Spanyolország teljes autóbuszgyártását is felülmúlta az Ikarus éves termelése.</w:t>
      </w:r>
    </w:p>
    <w:p w14:paraId="0A110341" w14:textId="77777777" w:rsidR="003B4007" w:rsidRPr="00BB7C26" w:rsidRDefault="003B4007" w:rsidP="007D3D23">
      <w:pPr>
        <w:spacing w:before="120" w:after="0" w:line="240" w:lineRule="auto"/>
        <w:jc w:val="both"/>
        <w:rPr>
          <w:rFonts w:ascii="EB Garamond" w:hAnsi="EB Garamond" w:cs="EB Garamond"/>
          <w:sz w:val="24"/>
          <w:szCs w:val="24"/>
        </w:rPr>
      </w:pPr>
      <w:r w:rsidRPr="00BB7C26">
        <w:rPr>
          <w:rFonts w:ascii="EB Garamond" w:hAnsi="EB Garamond" w:cs="EB Garamond"/>
          <w:sz w:val="24"/>
          <w:szCs w:val="24"/>
        </w:rPr>
        <w:t xml:space="preserve">Európában ekkor már csak az Egyesült Királyságban és Nyugat-Németországban gyártottak több autóbuszt, azonban az Egyesült Királyság adatai valamennyi 15 fő feletti befogadóképességű autóbusz adatait tartalmazzák, míg Németország adatai valamennyi autóbuszként forgalomba állított (vizsgáztatott) járműét. Fontos még megjegyezni, hogy a szóban forgó két ország területén készült </w:t>
      </w:r>
      <w:r w:rsidRPr="00BB7C26">
        <w:rPr>
          <w:rFonts w:ascii="EB Garamond" w:hAnsi="EB Garamond" w:cs="EB Garamond"/>
          <w:sz w:val="24"/>
          <w:szCs w:val="24"/>
        </w:rPr>
        <w:lastRenderedPageBreak/>
        <w:t>autóbuszokat tucatnyi gyártó állította elő, jóllehet ezek közül néhány gyártotta az ország termelésének harmadát-felét (</w:t>
      </w:r>
      <w:proofErr w:type="spellStart"/>
      <w:r w:rsidRPr="00BB7C26">
        <w:rPr>
          <w:rFonts w:ascii="EB Garamond" w:hAnsi="EB Garamond" w:cs="EB Garamond"/>
          <w:sz w:val="24"/>
          <w:szCs w:val="24"/>
        </w:rPr>
        <w:t>Leyland</w:t>
      </w:r>
      <w:proofErr w:type="spellEnd"/>
      <w:r w:rsidRPr="00BB7C26">
        <w:rPr>
          <w:rFonts w:ascii="EB Garamond" w:hAnsi="EB Garamond" w:cs="EB Garamond"/>
          <w:sz w:val="24"/>
          <w:szCs w:val="24"/>
        </w:rPr>
        <w:t>, Mercedes-</w:t>
      </w:r>
      <w:proofErr w:type="spellStart"/>
      <w:r w:rsidRPr="00BB7C26">
        <w:rPr>
          <w:rFonts w:ascii="EB Garamond" w:hAnsi="EB Garamond" w:cs="EB Garamond"/>
          <w:sz w:val="24"/>
          <w:szCs w:val="24"/>
        </w:rPr>
        <w:t>Daimler</w:t>
      </w:r>
      <w:proofErr w:type="spellEnd"/>
      <w:r w:rsidRPr="00BB7C26">
        <w:rPr>
          <w:rFonts w:ascii="EB Garamond" w:hAnsi="EB Garamond" w:cs="EB Garamond"/>
          <w:sz w:val="24"/>
          <w:szCs w:val="24"/>
        </w:rPr>
        <w:t xml:space="preserve"> Benz).</w:t>
      </w:r>
    </w:p>
    <w:p w14:paraId="49B67BBA" w14:textId="77777777" w:rsidR="003B4007" w:rsidRPr="00BB7C26" w:rsidRDefault="003B4007" w:rsidP="007D3D23">
      <w:pPr>
        <w:spacing w:before="120" w:after="0" w:line="240" w:lineRule="auto"/>
        <w:jc w:val="both"/>
        <w:rPr>
          <w:rFonts w:ascii="EB Garamond" w:hAnsi="EB Garamond" w:cs="EB Garamond"/>
          <w:sz w:val="24"/>
          <w:szCs w:val="24"/>
        </w:rPr>
      </w:pPr>
      <w:r w:rsidRPr="00BB7C26">
        <w:rPr>
          <w:rFonts w:ascii="EB Garamond" w:hAnsi="EB Garamond" w:cs="EB Garamond"/>
          <w:sz w:val="24"/>
          <w:szCs w:val="24"/>
        </w:rPr>
        <w:t>1980-ra tehát a nagy autóbuszok (midibuszok nélkül) legnagyobb gyártója Európában kétségkívül az Ikarus volt. 1985-re – tekintettel a nyugat-európai autóbuszgyártás volumenének csökkenésére – az Ikarus önmagában több autóbuszt gyártott, mint bármely európai ország.</w:t>
      </w:r>
    </w:p>
    <w:p w14:paraId="78B5615D" w14:textId="77777777" w:rsidR="003B4007" w:rsidRPr="00BB7C26" w:rsidRDefault="003B4007" w:rsidP="00967724">
      <w:pPr>
        <w:pStyle w:val="Cmsor2"/>
      </w:pPr>
      <w:r w:rsidRPr="00BB7C26">
        <w:t>Csuklós buszok</w:t>
      </w:r>
    </w:p>
    <w:p w14:paraId="616521F9" w14:textId="77777777" w:rsidR="003B4007" w:rsidRPr="00BB7C26" w:rsidRDefault="003B4007" w:rsidP="007D3D23">
      <w:pPr>
        <w:spacing w:before="120" w:after="0" w:line="240" w:lineRule="auto"/>
        <w:jc w:val="both"/>
        <w:rPr>
          <w:rFonts w:ascii="EB Garamond" w:hAnsi="EB Garamond" w:cs="EB Garamond"/>
          <w:sz w:val="24"/>
          <w:szCs w:val="24"/>
        </w:rPr>
      </w:pPr>
      <w:r w:rsidRPr="00BB7C26">
        <w:rPr>
          <w:rFonts w:ascii="EB Garamond" w:hAnsi="EB Garamond" w:cs="EB Garamond"/>
          <w:sz w:val="24"/>
          <w:szCs w:val="24"/>
        </w:rPr>
        <w:t>Külön érdemes vizsgálni a legnagyobb befogadóképességű csuklós autóbuszok gyártását, erre vonatkozóan azonban csak hazai pontos adatok állnak rendelkezésre. A külföldi gyárak adatai a vizsgált időszakban nem térnek ki a csuklós autóbuszok gyártási darabszámaira. Az 1970-es évekig a csuklós autóbuszok gyártása érdekében csak a német gyártók tettek említésre méltó lépéseket (</w:t>
      </w:r>
      <w:proofErr w:type="spellStart"/>
      <w:r w:rsidRPr="00BB7C26">
        <w:rPr>
          <w:rFonts w:ascii="EB Garamond" w:hAnsi="EB Garamond" w:cs="EB Garamond"/>
          <w:sz w:val="24"/>
          <w:szCs w:val="24"/>
        </w:rPr>
        <w:t>Henschel</w:t>
      </w:r>
      <w:proofErr w:type="spellEnd"/>
      <w:r w:rsidRPr="00BB7C26">
        <w:rPr>
          <w:rFonts w:ascii="EB Garamond" w:hAnsi="EB Garamond" w:cs="EB Garamond"/>
          <w:sz w:val="24"/>
          <w:szCs w:val="24"/>
        </w:rPr>
        <w:t>, MAN, Mercedes-Benz).</w:t>
      </w:r>
    </w:p>
    <w:p w14:paraId="7FD52A97" w14:textId="77777777" w:rsidR="003B4007" w:rsidRPr="00BB7C26" w:rsidRDefault="003B4007" w:rsidP="007D3D23">
      <w:pPr>
        <w:spacing w:before="120" w:after="0" w:line="240" w:lineRule="auto"/>
        <w:jc w:val="both"/>
        <w:rPr>
          <w:rFonts w:ascii="EB Garamond" w:hAnsi="EB Garamond" w:cs="EB Garamond"/>
          <w:sz w:val="24"/>
          <w:szCs w:val="24"/>
        </w:rPr>
      </w:pPr>
      <w:r w:rsidRPr="00BB7C26">
        <w:rPr>
          <w:rFonts w:ascii="EB Garamond" w:hAnsi="EB Garamond" w:cs="EB Garamond"/>
          <w:sz w:val="24"/>
          <w:szCs w:val="24"/>
        </w:rPr>
        <w:t>Európán kívül az 1970-es években csuklósautóbusz-gyártás nem volt. Pontos adatok hiányában a pontos részarány nem állapítható meg, csak vélelmezhetjük, hogy az 1970-es és 1980-as években az Ikarus a csuklós autóbuszok világtermelésének 2/3, de akár 3/4 részét is adhatta.</w:t>
      </w:r>
    </w:p>
    <w:p w14:paraId="2FCFDA98" w14:textId="77777777" w:rsidR="003B4007" w:rsidRPr="00BB7C26" w:rsidRDefault="003B4007" w:rsidP="00967724">
      <w:pPr>
        <w:pStyle w:val="Cmsor2"/>
      </w:pPr>
      <w:r w:rsidRPr="00BB7C26">
        <w:t>Autóbuszexport</w:t>
      </w:r>
    </w:p>
    <w:p w14:paraId="60D1E8BF" w14:textId="54F73DCA" w:rsidR="003B4007" w:rsidRPr="00BB7C26" w:rsidRDefault="003B4007" w:rsidP="001B4C75">
      <w:pPr>
        <w:spacing w:before="120" w:after="120" w:line="240" w:lineRule="auto"/>
        <w:jc w:val="both"/>
        <w:rPr>
          <w:rFonts w:ascii="EB Garamond" w:hAnsi="EB Garamond" w:cs="EB Garamond"/>
          <w:sz w:val="24"/>
          <w:szCs w:val="24"/>
        </w:rPr>
      </w:pPr>
      <w:r w:rsidRPr="00BB7C26">
        <w:rPr>
          <w:rFonts w:ascii="EB Garamond" w:hAnsi="EB Garamond" w:cs="EB Garamond"/>
          <w:sz w:val="24"/>
          <w:szCs w:val="24"/>
        </w:rPr>
        <w:t>Az Ikarus szerepét a világpiacon nemcsak a gyártott darabszám, de az exportált mennyiség tekintetében is érdemes megvizsgálni.</w:t>
      </w:r>
    </w:p>
    <w:tbl>
      <w:tblPr>
        <w:tblStyle w:val="Rcsostblzat"/>
        <w:tblW w:w="8501" w:type="dxa"/>
        <w:jc w:val="center"/>
        <w:tblLook w:val="04A0" w:firstRow="1" w:lastRow="0" w:firstColumn="1" w:lastColumn="0" w:noHBand="0" w:noVBand="1"/>
      </w:tblPr>
      <w:tblGrid>
        <w:gridCol w:w="2549"/>
        <w:gridCol w:w="850"/>
        <w:gridCol w:w="850"/>
        <w:gridCol w:w="850"/>
        <w:gridCol w:w="850"/>
        <w:gridCol w:w="851"/>
        <w:gridCol w:w="851"/>
        <w:gridCol w:w="850"/>
      </w:tblGrid>
      <w:tr w:rsidR="001B4C75" w:rsidRPr="001B4C75" w14:paraId="6392E868" w14:textId="77777777" w:rsidTr="008F7A63">
        <w:trPr>
          <w:trHeight w:val="397"/>
          <w:jc w:val="center"/>
        </w:trPr>
        <w:tc>
          <w:tcPr>
            <w:tcW w:w="8501" w:type="dxa"/>
            <w:gridSpan w:val="8"/>
            <w:tcBorders>
              <w:top w:val="nil"/>
              <w:left w:val="nil"/>
              <w:right w:val="nil"/>
            </w:tcBorders>
            <w:vAlign w:val="center"/>
          </w:tcPr>
          <w:p w14:paraId="5534BF12" w14:textId="07D26506" w:rsidR="001B4C75" w:rsidRPr="001B4C75" w:rsidRDefault="001B4C75" w:rsidP="008F7A63">
            <w:pPr>
              <w:jc w:val="center"/>
              <w:rPr>
                <w:rFonts w:ascii="EB Garamond" w:hAnsi="EB Garamond" w:cs="EB Garamond"/>
                <w:sz w:val="24"/>
                <w:szCs w:val="24"/>
              </w:rPr>
            </w:pPr>
            <w:r w:rsidRPr="00BB7C26">
              <w:rPr>
                <w:rFonts w:ascii="EB Garamond" w:hAnsi="EB Garamond" w:cs="EB Garamond"/>
                <w:sz w:val="24"/>
                <w:szCs w:val="24"/>
              </w:rPr>
              <w:t>A világ legjelentősebb autóbusz-exportőrei (1960-1990)</w:t>
            </w:r>
          </w:p>
        </w:tc>
      </w:tr>
      <w:tr w:rsidR="008F7A63" w:rsidRPr="001B4C75" w14:paraId="21A7789D" w14:textId="77777777" w:rsidTr="008F7A63">
        <w:trPr>
          <w:trHeight w:val="397"/>
          <w:jc w:val="center"/>
        </w:trPr>
        <w:tc>
          <w:tcPr>
            <w:tcW w:w="2551" w:type="dxa"/>
            <w:shd w:val="clear" w:color="auto" w:fill="D0CECE" w:themeFill="background2" w:themeFillShade="E6"/>
            <w:vAlign w:val="center"/>
          </w:tcPr>
          <w:p w14:paraId="7DE908E1" w14:textId="77777777" w:rsidR="001B4C75" w:rsidRPr="00343876" w:rsidRDefault="001B4C75" w:rsidP="008F7A63">
            <w:pPr>
              <w:jc w:val="center"/>
              <w:rPr>
                <w:rFonts w:ascii="EB Garamond" w:hAnsi="EB Garamond" w:cs="EB Garamond"/>
                <w:sz w:val="24"/>
                <w:szCs w:val="24"/>
              </w:rPr>
            </w:pPr>
          </w:p>
        </w:tc>
        <w:tc>
          <w:tcPr>
            <w:tcW w:w="850" w:type="dxa"/>
            <w:shd w:val="clear" w:color="auto" w:fill="D0CECE" w:themeFill="background2" w:themeFillShade="E6"/>
            <w:vAlign w:val="center"/>
          </w:tcPr>
          <w:p w14:paraId="70068B08" w14:textId="77777777" w:rsidR="001B4C75" w:rsidRPr="001B4C75" w:rsidRDefault="001B4C75" w:rsidP="008F7A63">
            <w:pPr>
              <w:jc w:val="center"/>
              <w:rPr>
                <w:rFonts w:ascii="EB Garamond" w:hAnsi="EB Garamond" w:cs="EB Garamond"/>
                <w:b/>
                <w:sz w:val="24"/>
                <w:szCs w:val="24"/>
              </w:rPr>
            </w:pPr>
            <w:r w:rsidRPr="001B4C75">
              <w:rPr>
                <w:rFonts w:ascii="EB Garamond" w:hAnsi="EB Garamond" w:cs="EB Garamond"/>
                <w:b/>
                <w:sz w:val="24"/>
                <w:szCs w:val="24"/>
              </w:rPr>
              <w:t>1960</w:t>
            </w:r>
          </w:p>
        </w:tc>
        <w:tc>
          <w:tcPr>
            <w:tcW w:w="850" w:type="dxa"/>
            <w:shd w:val="clear" w:color="auto" w:fill="D0CECE" w:themeFill="background2" w:themeFillShade="E6"/>
            <w:vAlign w:val="center"/>
          </w:tcPr>
          <w:p w14:paraId="4610B64E" w14:textId="77777777" w:rsidR="001B4C75" w:rsidRPr="001B4C75" w:rsidRDefault="001B4C75" w:rsidP="008F7A63">
            <w:pPr>
              <w:jc w:val="center"/>
              <w:rPr>
                <w:rFonts w:ascii="EB Garamond" w:hAnsi="EB Garamond" w:cs="EB Garamond"/>
                <w:b/>
                <w:sz w:val="24"/>
                <w:szCs w:val="24"/>
              </w:rPr>
            </w:pPr>
            <w:r w:rsidRPr="001B4C75">
              <w:rPr>
                <w:rFonts w:ascii="EB Garamond" w:hAnsi="EB Garamond" w:cs="EB Garamond"/>
                <w:b/>
                <w:sz w:val="24"/>
                <w:szCs w:val="24"/>
              </w:rPr>
              <w:t>1965</w:t>
            </w:r>
          </w:p>
        </w:tc>
        <w:tc>
          <w:tcPr>
            <w:tcW w:w="850" w:type="dxa"/>
            <w:shd w:val="clear" w:color="auto" w:fill="D0CECE" w:themeFill="background2" w:themeFillShade="E6"/>
            <w:vAlign w:val="center"/>
          </w:tcPr>
          <w:p w14:paraId="0A2EA6AE" w14:textId="77777777" w:rsidR="001B4C75" w:rsidRPr="001B4C75" w:rsidRDefault="001B4C75" w:rsidP="008F7A63">
            <w:pPr>
              <w:jc w:val="center"/>
              <w:rPr>
                <w:rFonts w:ascii="EB Garamond" w:hAnsi="EB Garamond" w:cs="EB Garamond"/>
                <w:b/>
                <w:sz w:val="24"/>
                <w:szCs w:val="24"/>
              </w:rPr>
            </w:pPr>
            <w:r w:rsidRPr="001B4C75">
              <w:rPr>
                <w:rFonts w:ascii="EB Garamond" w:hAnsi="EB Garamond" w:cs="EB Garamond"/>
                <w:b/>
                <w:sz w:val="24"/>
                <w:szCs w:val="24"/>
              </w:rPr>
              <w:t>1970</w:t>
            </w:r>
          </w:p>
        </w:tc>
        <w:tc>
          <w:tcPr>
            <w:tcW w:w="850" w:type="dxa"/>
            <w:shd w:val="clear" w:color="auto" w:fill="D0CECE" w:themeFill="background2" w:themeFillShade="E6"/>
            <w:vAlign w:val="center"/>
          </w:tcPr>
          <w:p w14:paraId="3ABD1A9B" w14:textId="77777777" w:rsidR="001B4C75" w:rsidRPr="001B4C75" w:rsidRDefault="001B4C75" w:rsidP="008F7A63">
            <w:pPr>
              <w:jc w:val="center"/>
              <w:rPr>
                <w:rFonts w:ascii="EB Garamond" w:hAnsi="EB Garamond" w:cs="EB Garamond"/>
                <w:b/>
                <w:sz w:val="24"/>
                <w:szCs w:val="24"/>
              </w:rPr>
            </w:pPr>
            <w:r w:rsidRPr="001B4C75">
              <w:rPr>
                <w:rFonts w:ascii="EB Garamond" w:hAnsi="EB Garamond" w:cs="EB Garamond"/>
                <w:b/>
                <w:sz w:val="24"/>
                <w:szCs w:val="24"/>
              </w:rPr>
              <w:t>1975</w:t>
            </w:r>
          </w:p>
        </w:tc>
        <w:tc>
          <w:tcPr>
            <w:tcW w:w="850" w:type="dxa"/>
            <w:shd w:val="clear" w:color="auto" w:fill="D0CECE" w:themeFill="background2" w:themeFillShade="E6"/>
            <w:vAlign w:val="center"/>
          </w:tcPr>
          <w:p w14:paraId="03B28B66" w14:textId="77777777" w:rsidR="001B4C75" w:rsidRPr="001B4C75" w:rsidRDefault="001B4C75" w:rsidP="008F7A63">
            <w:pPr>
              <w:jc w:val="center"/>
              <w:rPr>
                <w:rFonts w:ascii="EB Garamond" w:hAnsi="EB Garamond" w:cs="EB Garamond"/>
                <w:b/>
                <w:sz w:val="24"/>
                <w:szCs w:val="24"/>
              </w:rPr>
            </w:pPr>
            <w:r w:rsidRPr="001B4C75">
              <w:rPr>
                <w:rFonts w:ascii="EB Garamond" w:hAnsi="EB Garamond" w:cs="EB Garamond"/>
                <w:b/>
                <w:sz w:val="24"/>
                <w:szCs w:val="24"/>
              </w:rPr>
              <w:t>1980</w:t>
            </w:r>
          </w:p>
        </w:tc>
        <w:tc>
          <w:tcPr>
            <w:tcW w:w="850" w:type="dxa"/>
            <w:shd w:val="clear" w:color="auto" w:fill="D0CECE" w:themeFill="background2" w:themeFillShade="E6"/>
            <w:vAlign w:val="center"/>
          </w:tcPr>
          <w:p w14:paraId="739A686C" w14:textId="77777777" w:rsidR="001B4C75" w:rsidRPr="001B4C75" w:rsidRDefault="001B4C75" w:rsidP="008F7A63">
            <w:pPr>
              <w:jc w:val="center"/>
              <w:rPr>
                <w:rFonts w:ascii="EB Garamond" w:hAnsi="EB Garamond" w:cs="EB Garamond"/>
                <w:b/>
                <w:sz w:val="24"/>
                <w:szCs w:val="24"/>
              </w:rPr>
            </w:pPr>
            <w:r w:rsidRPr="001B4C75">
              <w:rPr>
                <w:rFonts w:ascii="EB Garamond" w:hAnsi="EB Garamond" w:cs="EB Garamond"/>
                <w:b/>
                <w:sz w:val="24"/>
                <w:szCs w:val="24"/>
              </w:rPr>
              <w:t>1985</w:t>
            </w:r>
          </w:p>
        </w:tc>
        <w:tc>
          <w:tcPr>
            <w:tcW w:w="850" w:type="dxa"/>
            <w:shd w:val="clear" w:color="auto" w:fill="D0CECE" w:themeFill="background2" w:themeFillShade="E6"/>
            <w:vAlign w:val="center"/>
          </w:tcPr>
          <w:p w14:paraId="05A4E30F" w14:textId="77777777" w:rsidR="001B4C75" w:rsidRPr="001B4C75" w:rsidRDefault="001B4C75" w:rsidP="008F7A63">
            <w:pPr>
              <w:jc w:val="center"/>
              <w:rPr>
                <w:rFonts w:ascii="EB Garamond" w:hAnsi="EB Garamond" w:cs="EB Garamond"/>
                <w:b/>
                <w:sz w:val="24"/>
                <w:szCs w:val="24"/>
              </w:rPr>
            </w:pPr>
            <w:r w:rsidRPr="001B4C75">
              <w:rPr>
                <w:rFonts w:ascii="EB Garamond" w:hAnsi="EB Garamond" w:cs="EB Garamond"/>
                <w:b/>
                <w:sz w:val="24"/>
                <w:szCs w:val="24"/>
              </w:rPr>
              <w:t>1990</w:t>
            </w:r>
          </w:p>
        </w:tc>
      </w:tr>
      <w:tr w:rsidR="001B4C75" w:rsidRPr="001B4C75" w14:paraId="4291F2FC" w14:textId="77777777" w:rsidTr="008F7A63">
        <w:trPr>
          <w:trHeight w:val="397"/>
          <w:jc w:val="center"/>
        </w:trPr>
        <w:tc>
          <w:tcPr>
            <w:tcW w:w="2551" w:type="dxa"/>
            <w:vAlign w:val="center"/>
          </w:tcPr>
          <w:p w14:paraId="30CAE16C" w14:textId="77777777" w:rsidR="001B4C75" w:rsidRPr="001B4C75" w:rsidRDefault="001B4C75" w:rsidP="008F7A63">
            <w:pPr>
              <w:rPr>
                <w:rFonts w:ascii="EB Garamond" w:hAnsi="EB Garamond" w:cs="EB Garamond"/>
                <w:sz w:val="24"/>
                <w:szCs w:val="24"/>
              </w:rPr>
            </w:pPr>
            <w:r w:rsidRPr="001B4C75">
              <w:rPr>
                <w:rFonts w:ascii="EB Garamond" w:hAnsi="EB Garamond" w:cs="EB Garamond"/>
                <w:sz w:val="24"/>
                <w:szCs w:val="24"/>
              </w:rPr>
              <w:t>USA</w:t>
            </w:r>
          </w:p>
        </w:tc>
        <w:tc>
          <w:tcPr>
            <w:tcW w:w="850" w:type="dxa"/>
            <w:vAlign w:val="center"/>
          </w:tcPr>
          <w:p w14:paraId="7236C386"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6497</w:t>
            </w:r>
          </w:p>
        </w:tc>
        <w:tc>
          <w:tcPr>
            <w:tcW w:w="850" w:type="dxa"/>
            <w:vAlign w:val="center"/>
          </w:tcPr>
          <w:p w14:paraId="39F7DCF9"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4407</w:t>
            </w:r>
          </w:p>
        </w:tc>
        <w:tc>
          <w:tcPr>
            <w:tcW w:w="850" w:type="dxa"/>
            <w:vAlign w:val="center"/>
          </w:tcPr>
          <w:p w14:paraId="74E50882"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3500</w:t>
            </w:r>
          </w:p>
        </w:tc>
        <w:tc>
          <w:tcPr>
            <w:tcW w:w="850" w:type="dxa"/>
            <w:vAlign w:val="center"/>
          </w:tcPr>
          <w:p w14:paraId="11844B15"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5053</w:t>
            </w:r>
          </w:p>
        </w:tc>
        <w:tc>
          <w:tcPr>
            <w:tcW w:w="850" w:type="dxa"/>
            <w:vAlign w:val="center"/>
          </w:tcPr>
          <w:p w14:paraId="1B410ED1"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4500</w:t>
            </w:r>
          </w:p>
        </w:tc>
        <w:tc>
          <w:tcPr>
            <w:tcW w:w="850" w:type="dxa"/>
            <w:vAlign w:val="center"/>
          </w:tcPr>
          <w:p w14:paraId="29E22585"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2032</w:t>
            </w:r>
          </w:p>
        </w:tc>
        <w:tc>
          <w:tcPr>
            <w:tcW w:w="850" w:type="dxa"/>
            <w:vAlign w:val="center"/>
          </w:tcPr>
          <w:p w14:paraId="63C61EA1"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8036</w:t>
            </w:r>
          </w:p>
        </w:tc>
      </w:tr>
      <w:tr w:rsidR="001B4C75" w:rsidRPr="001B4C75" w14:paraId="3A1D0040" w14:textId="77777777" w:rsidTr="008F7A63">
        <w:trPr>
          <w:trHeight w:val="397"/>
          <w:jc w:val="center"/>
        </w:trPr>
        <w:tc>
          <w:tcPr>
            <w:tcW w:w="2551" w:type="dxa"/>
            <w:vAlign w:val="center"/>
          </w:tcPr>
          <w:p w14:paraId="742387FC" w14:textId="77777777" w:rsidR="001B4C75" w:rsidRPr="001B4C75" w:rsidRDefault="001B4C75" w:rsidP="008F7A63">
            <w:pPr>
              <w:rPr>
                <w:rFonts w:ascii="EB Garamond" w:hAnsi="EB Garamond" w:cs="EB Garamond"/>
                <w:sz w:val="24"/>
                <w:szCs w:val="24"/>
              </w:rPr>
            </w:pPr>
            <w:r w:rsidRPr="001B4C75">
              <w:rPr>
                <w:rFonts w:ascii="EB Garamond" w:hAnsi="EB Garamond" w:cs="EB Garamond"/>
                <w:sz w:val="24"/>
                <w:szCs w:val="24"/>
              </w:rPr>
              <w:t>Egyesült Királyság</w:t>
            </w:r>
          </w:p>
        </w:tc>
        <w:tc>
          <w:tcPr>
            <w:tcW w:w="850" w:type="dxa"/>
            <w:vAlign w:val="center"/>
          </w:tcPr>
          <w:p w14:paraId="1224B19B"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4772</w:t>
            </w:r>
          </w:p>
        </w:tc>
        <w:tc>
          <w:tcPr>
            <w:tcW w:w="850" w:type="dxa"/>
            <w:vAlign w:val="center"/>
          </w:tcPr>
          <w:p w14:paraId="24BE3FE2"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5310</w:t>
            </w:r>
          </w:p>
        </w:tc>
        <w:tc>
          <w:tcPr>
            <w:tcW w:w="850" w:type="dxa"/>
            <w:vAlign w:val="center"/>
          </w:tcPr>
          <w:p w14:paraId="31A579E6"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7085</w:t>
            </w:r>
          </w:p>
        </w:tc>
        <w:tc>
          <w:tcPr>
            <w:tcW w:w="850" w:type="dxa"/>
            <w:vAlign w:val="center"/>
          </w:tcPr>
          <w:p w14:paraId="34423A42"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9590</w:t>
            </w:r>
          </w:p>
        </w:tc>
        <w:tc>
          <w:tcPr>
            <w:tcW w:w="850" w:type="dxa"/>
            <w:vAlign w:val="center"/>
          </w:tcPr>
          <w:p w14:paraId="6BC1B750"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4006</w:t>
            </w:r>
          </w:p>
        </w:tc>
        <w:tc>
          <w:tcPr>
            <w:tcW w:w="850" w:type="dxa"/>
            <w:vAlign w:val="center"/>
          </w:tcPr>
          <w:p w14:paraId="01A260E4"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1612</w:t>
            </w:r>
          </w:p>
        </w:tc>
        <w:tc>
          <w:tcPr>
            <w:tcW w:w="850" w:type="dxa"/>
            <w:vAlign w:val="center"/>
          </w:tcPr>
          <w:p w14:paraId="4D6BC2CD"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n/a</w:t>
            </w:r>
          </w:p>
        </w:tc>
      </w:tr>
      <w:tr w:rsidR="001B4C75" w:rsidRPr="001B4C75" w14:paraId="63569643" w14:textId="77777777" w:rsidTr="008F7A63">
        <w:trPr>
          <w:trHeight w:val="397"/>
          <w:jc w:val="center"/>
        </w:trPr>
        <w:tc>
          <w:tcPr>
            <w:tcW w:w="2551" w:type="dxa"/>
            <w:vAlign w:val="center"/>
          </w:tcPr>
          <w:p w14:paraId="059F6B06" w14:textId="77777777" w:rsidR="001B4C75" w:rsidRPr="001B4C75" w:rsidRDefault="001B4C75" w:rsidP="008F7A63">
            <w:pPr>
              <w:rPr>
                <w:rFonts w:ascii="EB Garamond" w:hAnsi="EB Garamond" w:cs="EB Garamond"/>
                <w:sz w:val="24"/>
                <w:szCs w:val="24"/>
              </w:rPr>
            </w:pPr>
            <w:r w:rsidRPr="001B4C75">
              <w:rPr>
                <w:rFonts w:ascii="EB Garamond" w:hAnsi="EB Garamond" w:cs="EB Garamond"/>
                <w:sz w:val="24"/>
                <w:szCs w:val="24"/>
              </w:rPr>
              <w:t>Franciaország</w:t>
            </w:r>
          </w:p>
        </w:tc>
        <w:tc>
          <w:tcPr>
            <w:tcW w:w="850" w:type="dxa"/>
            <w:vAlign w:val="center"/>
          </w:tcPr>
          <w:p w14:paraId="4FD97B81"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1031</w:t>
            </w:r>
          </w:p>
        </w:tc>
        <w:tc>
          <w:tcPr>
            <w:tcW w:w="850" w:type="dxa"/>
            <w:vAlign w:val="center"/>
          </w:tcPr>
          <w:p w14:paraId="6563D1C9"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304</w:t>
            </w:r>
          </w:p>
        </w:tc>
        <w:tc>
          <w:tcPr>
            <w:tcW w:w="850" w:type="dxa"/>
            <w:vAlign w:val="center"/>
          </w:tcPr>
          <w:p w14:paraId="417408A0"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183</w:t>
            </w:r>
          </w:p>
        </w:tc>
        <w:tc>
          <w:tcPr>
            <w:tcW w:w="850" w:type="dxa"/>
            <w:vAlign w:val="center"/>
          </w:tcPr>
          <w:p w14:paraId="1B7BBE97"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2404</w:t>
            </w:r>
          </w:p>
        </w:tc>
        <w:tc>
          <w:tcPr>
            <w:tcW w:w="850" w:type="dxa"/>
            <w:vAlign w:val="center"/>
          </w:tcPr>
          <w:p w14:paraId="754B5FDF"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2173</w:t>
            </w:r>
          </w:p>
        </w:tc>
        <w:tc>
          <w:tcPr>
            <w:tcW w:w="850" w:type="dxa"/>
            <w:vAlign w:val="center"/>
          </w:tcPr>
          <w:p w14:paraId="67A9F6FB"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984</w:t>
            </w:r>
          </w:p>
        </w:tc>
        <w:tc>
          <w:tcPr>
            <w:tcW w:w="850" w:type="dxa"/>
            <w:vAlign w:val="center"/>
          </w:tcPr>
          <w:p w14:paraId="7E74D685"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n/a</w:t>
            </w:r>
          </w:p>
        </w:tc>
      </w:tr>
      <w:tr w:rsidR="001B4C75" w:rsidRPr="001B4C75" w14:paraId="27101C05" w14:textId="77777777" w:rsidTr="008F7A63">
        <w:trPr>
          <w:trHeight w:val="397"/>
          <w:jc w:val="center"/>
        </w:trPr>
        <w:tc>
          <w:tcPr>
            <w:tcW w:w="2551" w:type="dxa"/>
            <w:vAlign w:val="center"/>
          </w:tcPr>
          <w:p w14:paraId="0BCF828D" w14:textId="77777777" w:rsidR="001B4C75" w:rsidRPr="001B4C75" w:rsidRDefault="001B4C75" w:rsidP="008F7A63">
            <w:pPr>
              <w:rPr>
                <w:rFonts w:ascii="EB Garamond" w:hAnsi="EB Garamond" w:cs="EB Garamond"/>
                <w:sz w:val="24"/>
                <w:szCs w:val="24"/>
              </w:rPr>
            </w:pPr>
            <w:r w:rsidRPr="001B4C75">
              <w:rPr>
                <w:rFonts w:ascii="EB Garamond" w:hAnsi="EB Garamond" w:cs="EB Garamond"/>
                <w:sz w:val="24"/>
                <w:szCs w:val="24"/>
              </w:rPr>
              <w:t>NSZK</w:t>
            </w:r>
          </w:p>
        </w:tc>
        <w:tc>
          <w:tcPr>
            <w:tcW w:w="850" w:type="dxa"/>
            <w:vAlign w:val="center"/>
          </w:tcPr>
          <w:p w14:paraId="32D01884"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3285</w:t>
            </w:r>
          </w:p>
        </w:tc>
        <w:tc>
          <w:tcPr>
            <w:tcW w:w="850" w:type="dxa"/>
            <w:vAlign w:val="center"/>
          </w:tcPr>
          <w:p w14:paraId="744949C1"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3394</w:t>
            </w:r>
          </w:p>
        </w:tc>
        <w:tc>
          <w:tcPr>
            <w:tcW w:w="850" w:type="dxa"/>
            <w:vAlign w:val="center"/>
          </w:tcPr>
          <w:p w14:paraId="3A9F6E18"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2434</w:t>
            </w:r>
          </w:p>
        </w:tc>
        <w:tc>
          <w:tcPr>
            <w:tcW w:w="850" w:type="dxa"/>
            <w:vAlign w:val="center"/>
          </w:tcPr>
          <w:p w14:paraId="114F67A9"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4785</w:t>
            </w:r>
          </w:p>
        </w:tc>
        <w:tc>
          <w:tcPr>
            <w:tcW w:w="850" w:type="dxa"/>
            <w:vAlign w:val="center"/>
          </w:tcPr>
          <w:p w14:paraId="2E48892D"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4758</w:t>
            </w:r>
          </w:p>
        </w:tc>
        <w:tc>
          <w:tcPr>
            <w:tcW w:w="850" w:type="dxa"/>
            <w:vAlign w:val="center"/>
          </w:tcPr>
          <w:p w14:paraId="2FC34177"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2785</w:t>
            </w:r>
          </w:p>
        </w:tc>
        <w:tc>
          <w:tcPr>
            <w:tcW w:w="850" w:type="dxa"/>
            <w:vAlign w:val="center"/>
          </w:tcPr>
          <w:p w14:paraId="70B33BF5"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2077</w:t>
            </w:r>
          </w:p>
        </w:tc>
      </w:tr>
      <w:tr w:rsidR="001B4C75" w:rsidRPr="001B4C75" w14:paraId="7C4FB9B2" w14:textId="77777777" w:rsidTr="008F7A63">
        <w:trPr>
          <w:trHeight w:val="397"/>
          <w:jc w:val="center"/>
        </w:trPr>
        <w:tc>
          <w:tcPr>
            <w:tcW w:w="2551" w:type="dxa"/>
            <w:vAlign w:val="center"/>
          </w:tcPr>
          <w:p w14:paraId="300FA297" w14:textId="77777777" w:rsidR="001B4C75" w:rsidRPr="001B4C75" w:rsidRDefault="001B4C75" w:rsidP="008F7A63">
            <w:pPr>
              <w:rPr>
                <w:rFonts w:ascii="EB Garamond" w:hAnsi="EB Garamond" w:cs="EB Garamond"/>
                <w:sz w:val="24"/>
                <w:szCs w:val="24"/>
              </w:rPr>
            </w:pPr>
            <w:r w:rsidRPr="001B4C75">
              <w:rPr>
                <w:rFonts w:ascii="EB Garamond" w:hAnsi="EB Garamond" w:cs="EB Garamond"/>
                <w:sz w:val="24"/>
                <w:szCs w:val="24"/>
              </w:rPr>
              <w:t>Olaszország</w:t>
            </w:r>
          </w:p>
        </w:tc>
        <w:tc>
          <w:tcPr>
            <w:tcW w:w="850" w:type="dxa"/>
            <w:vAlign w:val="center"/>
          </w:tcPr>
          <w:p w14:paraId="62DD4C3A"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369</w:t>
            </w:r>
          </w:p>
        </w:tc>
        <w:tc>
          <w:tcPr>
            <w:tcW w:w="850" w:type="dxa"/>
            <w:vAlign w:val="center"/>
          </w:tcPr>
          <w:p w14:paraId="5EC230F3"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873</w:t>
            </w:r>
          </w:p>
        </w:tc>
        <w:tc>
          <w:tcPr>
            <w:tcW w:w="850" w:type="dxa"/>
            <w:vAlign w:val="center"/>
          </w:tcPr>
          <w:p w14:paraId="5ADCB8FC"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1198</w:t>
            </w:r>
          </w:p>
        </w:tc>
        <w:tc>
          <w:tcPr>
            <w:tcW w:w="850" w:type="dxa"/>
            <w:vAlign w:val="center"/>
          </w:tcPr>
          <w:p w14:paraId="60B18C2A"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2597</w:t>
            </w:r>
          </w:p>
        </w:tc>
        <w:tc>
          <w:tcPr>
            <w:tcW w:w="850" w:type="dxa"/>
            <w:vAlign w:val="center"/>
          </w:tcPr>
          <w:p w14:paraId="165B0153"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3105</w:t>
            </w:r>
          </w:p>
        </w:tc>
        <w:tc>
          <w:tcPr>
            <w:tcW w:w="850" w:type="dxa"/>
            <w:vAlign w:val="center"/>
          </w:tcPr>
          <w:p w14:paraId="3C4E8D5E"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2989</w:t>
            </w:r>
          </w:p>
        </w:tc>
        <w:tc>
          <w:tcPr>
            <w:tcW w:w="850" w:type="dxa"/>
            <w:vAlign w:val="center"/>
          </w:tcPr>
          <w:p w14:paraId="2C921C2D"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3466</w:t>
            </w:r>
          </w:p>
        </w:tc>
      </w:tr>
      <w:tr w:rsidR="001B4C75" w:rsidRPr="001B4C75" w14:paraId="67CF9171" w14:textId="77777777" w:rsidTr="008F7A63">
        <w:trPr>
          <w:trHeight w:val="397"/>
          <w:jc w:val="center"/>
        </w:trPr>
        <w:tc>
          <w:tcPr>
            <w:tcW w:w="2551" w:type="dxa"/>
            <w:vAlign w:val="center"/>
          </w:tcPr>
          <w:p w14:paraId="1993C938" w14:textId="77777777" w:rsidR="001B4C75" w:rsidRPr="001B4C75" w:rsidRDefault="001B4C75" w:rsidP="008F7A63">
            <w:pPr>
              <w:rPr>
                <w:rFonts w:ascii="EB Garamond" w:hAnsi="EB Garamond" w:cs="EB Garamond"/>
                <w:sz w:val="24"/>
                <w:szCs w:val="24"/>
              </w:rPr>
            </w:pPr>
            <w:r w:rsidRPr="001B4C75">
              <w:rPr>
                <w:rFonts w:ascii="EB Garamond" w:hAnsi="EB Garamond" w:cs="EB Garamond"/>
                <w:sz w:val="24"/>
                <w:szCs w:val="24"/>
              </w:rPr>
              <w:t>Svédország</w:t>
            </w:r>
          </w:p>
        </w:tc>
        <w:tc>
          <w:tcPr>
            <w:tcW w:w="850" w:type="dxa"/>
            <w:vAlign w:val="center"/>
          </w:tcPr>
          <w:p w14:paraId="559B1E04"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1440</w:t>
            </w:r>
          </w:p>
        </w:tc>
        <w:tc>
          <w:tcPr>
            <w:tcW w:w="850" w:type="dxa"/>
            <w:vAlign w:val="center"/>
          </w:tcPr>
          <w:p w14:paraId="3ADB73E4"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1106</w:t>
            </w:r>
          </w:p>
        </w:tc>
        <w:tc>
          <w:tcPr>
            <w:tcW w:w="850" w:type="dxa"/>
            <w:vAlign w:val="center"/>
          </w:tcPr>
          <w:p w14:paraId="0FF9D603"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1088</w:t>
            </w:r>
          </w:p>
        </w:tc>
        <w:tc>
          <w:tcPr>
            <w:tcW w:w="850" w:type="dxa"/>
            <w:vAlign w:val="center"/>
          </w:tcPr>
          <w:p w14:paraId="7E93DEF1"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3570</w:t>
            </w:r>
          </w:p>
        </w:tc>
        <w:tc>
          <w:tcPr>
            <w:tcW w:w="850" w:type="dxa"/>
            <w:vAlign w:val="center"/>
          </w:tcPr>
          <w:p w14:paraId="09DCCA0D"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5015</w:t>
            </w:r>
          </w:p>
        </w:tc>
        <w:tc>
          <w:tcPr>
            <w:tcW w:w="850" w:type="dxa"/>
            <w:vAlign w:val="center"/>
          </w:tcPr>
          <w:p w14:paraId="764009FE"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3751</w:t>
            </w:r>
          </w:p>
        </w:tc>
        <w:tc>
          <w:tcPr>
            <w:tcW w:w="850" w:type="dxa"/>
            <w:vAlign w:val="center"/>
          </w:tcPr>
          <w:p w14:paraId="11CC5B19" w14:textId="77777777" w:rsidR="001B4C75" w:rsidRPr="001B4C75" w:rsidRDefault="001B4C75" w:rsidP="008F7A63">
            <w:pPr>
              <w:jc w:val="center"/>
              <w:rPr>
                <w:rFonts w:ascii="EB Garamond" w:hAnsi="EB Garamond" w:cs="EB Garamond"/>
                <w:sz w:val="24"/>
                <w:szCs w:val="24"/>
              </w:rPr>
            </w:pPr>
            <w:r w:rsidRPr="001B4C75">
              <w:rPr>
                <w:rFonts w:ascii="EB Garamond" w:hAnsi="EB Garamond" w:cs="EB Garamond"/>
                <w:sz w:val="24"/>
                <w:szCs w:val="24"/>
              </w:rPr>
              <w:t>187</w:t>
            </w:r>
          </w:p>
        </w:tc>
      </w:tr>
      <w:tr w:rsidR="008F7A63" w:rsidRPr="001B4C75" w14:paraId="58C7D449" w14:textId="77777777" w:rsidTr="008F7A63">
        <w:trPr>
          <w:trHeight w:val="397"/>
          <w:jc w:val="center"/>
        </w:trPr>
        <w:tc>
          <w:tcPr>
            <w:tcW w:w="2551" w:type="dxa"/>
            <w:shd w:val="clear" w:color="auto" w:fill="D0CECE" w:themeFill="background2" w:themeFillShade="E6"/>
            <w:vAlign w:val="center"/>
          </w:tcPr>
          <w:p w14:paraId="210B8135" w14:textId="77777777" w:rsidR="001B4C75" w:rsidRPr="001B4C75" w:rsidRDefault="001B4C75" w:rsidP="008F7A63">
            <w:pPr>
              <w:rPr>
                <w:rFonts w:ascii="EB Garamond" w:hAnsi="EB Garamond" w:cs="EB Garamond"/>
                <w:b/>
                <w:sz w:val="24"/>
                <w:szCs w:val="24"/>
              </w:rPr>
            </w:pPr>
            <w:r w:rsidRPr="001B4C75">
              <w:rPr>
                <w:rFonts w:ascii="EB Garamond" w:hAnsi="EB Garamond" w:cs="EB Garamond"/>
                <w:b/>
                <w:sz w:val="24"/>
                <w:szCs w:val="24"/>
              </w:rPr>
              <w:t>IKARUS</w:t>
            </w:r>
          </w:p>
        </w:tc>
        <w:tc>
          <w:tcPr>
            <w:tcW w:w="850" w:type="dxa"/>
            <w:shd w:val="clear" w:color="auto" w:fill="D0CECE" w:themeFill="background2" w:themeFillShade="E6"/>
            <w:vAlign w:val="center"/>
          </w:tcPr>
          <w:p w14:paraId="516889F9" w14:textId="77777777" w:rsidR="001B4C75" w:rsidRPr="001B4C75" w:rsidRDefault="001B4C75" w:rsidP="008F7A63">
            <w:pPr>
              <w:jc w:val="center"/>
              <w:rPr>
                <w:rFonts w:ascii="EB Garamond" w:hAnsi="EB Garamond" w:cs="EB Garamond"/>
                <w:b/>
                <w:sz w:val="24"/>
                <w:szCs w:val="24"/>
              </w:rPr>
            </w:pPr>
            <w:r w:rsidRPr="001B4C75">
              <w:rPr>
                <w:rFonts w:ascii="EB Garamond" w:hAnsi="EB Garamond" w:cs="EB Garamond"/>
                <w:b/>
                <w:sz w:val="24"/>
                <w:szCs w:val="24"/>
              </w:rPr>
              <w:t>1186</w:t>
            </w:r>
          </w:p>
        </w:tc>
        <w:tc>
          <w:tcPr>
            <w:tcW w:w="850" w:type="dxa"/>
            <w:shd w:val="clear" w:color="auto" w:fill="D0CECE" w:themeFill="background2" w:themeFillShade="E6"/>
            <w:vAlign w:val="center"/>
          </w:tcPr>
          <w:p w14:paraId="3281E661" w14:textId="77777777" w:rsidR="001B4C75" w:rsidRPr="001B4C75" w:rsidRDefault="001B4C75" w:rsidP="008F7A63">
            <w:pPr>
              <w:jc w:val="center"/>
              <w:rPr>
                <w:rFonts w:ascii="EB Garamond" w:hAnsi="EB Garamond" w:cs="EB Garamond"/>
                <w:b/>
                <w:sz w:val="24"/>
                <w:szCs w:val="24"/>
              </w:rPr>
            </w:pPr>
            <w:r w:rsidRPr="001B4C75">
              <w:rPr>
                <w:rFonts w:ascii="EB Garamond" w:hAnsi="EB Garamond" w:cs="EB Garamond"/>
                <w:b/>
                <w:sz w:val="24"/>
                <w:szCs w:val="24"/>
              </w:rPr>
              <w:t>2167</w:t>
            </w:r>
          </w:p>
        </w:tc>
        <w:tc>
          <w:tcPr>
            <w:tcW w:w="850" w:type="dxa"/>
            <w:shd w:val="clear" w:color="auto" w:fill="D0CECE" w:themeFill="background2" w:themeFillShade="E6"/>
            <w:vAlign w:val="center"/>
          </w:tcPr>
          <w:p w14:paraId="3C6FF7AC" w14:textId="77777777" w:rsidR="001B4C75" w:rsidRPr="001B4C75" w:rsidRDefault="001B4C75" w:rsidP="008F7A63">
            <w:pPr>
              <w:jc w:val="center"/>
              <w:rPr>
                <w:rFonts w:ascii="EB Garamond" w:hAnsi="EB Garamond" w:cs="EB Garamond"/>
                <w:b/>
                <w:sz w:val="24"/>
                <w:szCs w:val="24"/>
              </w:rPr>
            </w:pPr>
            <w:r w:rsidRPr="001B4C75">
              <w:rPr>
                <w:rFonts w:ascii="EB Garamond" w:hAnsi="EB Garamond" w:cs="EB Garamond"/>
                <w:b/>
                <w:sz w:val="24"/>
                <w:szCs w:val="24"/>
              </w:rPr>
              <w:t>4718</w:t>
            </w:r>
          </w:p>
        </w:tc>
        <w:tc>
          <w:tcPr>
            <w:tcW w:w="850" w:type="dxa"/>
            <w:shd w:val="clear" w:color="auto" w:fill="D0CECE" w:themeFill="background2" w:themeFillShade="E6"/>
            <w:vAlign w:val="center"/>
          </w:tcPr>
          <w:p w14:paraId="2E7D528F" w14:textId="77777777" w:rsidR="001B4C75" w:rsidRPr="001B4C75" w:rsidRDefault="001B4C75" w:rsidP="008F7A63">
            <w:pPr>
              <w:jc w:val="center"/>
              <w:rPr>
                <w:rFonts w:ascii="EB Garamond" w:hAnsi="EB Garamond" w:cs="EB Garamond"/>
                <w:b/>
                <w:sz w:val="24"/>
                <w:szCs w:val="24"/>
              </w:rPr>
            </w:pPr>
            <w:r w:rsidRPr="001B4C75">
              <w:rPr>
                <w:rFonts w:ascii="EB Garamond" w:hAnsi="EB Garamond" w:cs="EB Garamond"/>
                <w:b/>
                <w:sz w:val="24"/>
                <w:szCs w:val="24"/>
              </w:rPr>
              <w:t>9371</w:t>
            </w:r>
          </w:p>
        </w:tc>
        <w:tc>
          <w:tcPr>
            <w:tcW w:w="850" w:type="dxa"/>
            <w:shd w:val="clear" w:color="auto" w:fill="D0CECE" w:themeFill="background2" w:themeFillShade="E6"/>
            <w:vAlign w:val="center"/>
          </w:tcPr>
          <w:p w14:paraId="18D4FFF5" w14:textId="77777777" w:rsidR="001B4C75" w:rsidRPr="001B4C75" w:rsidRDefault="001B4C75" w:rsidP="008F7A63">
            <w:pPr>
              <w:jc w:val="center"/>
              <w:rPr>
                <w:rFonts w:ascii="EB Garamond" w:hAnsi="EB Garamond" w:cs="EB Garamond"/>
                <w:b/>
                <w:sz w:val="24"/>
                <w:szCs w:val="24"/>
              </w:rPr>
            </w:pPr>
            <w:r w:rsidRPr="001B4C75">
              <w:rPr>
                <w:rFonts w:ascii="EB Garamond" w:hAnsi="EB Garamond" w:cs="EB Garamond"/>
                <w:b/>
                <w:sz w:val="24"/>
                <w:szCs w:val="24"/>
              </w:rPr>
              <w:t>12222</w:t>
            </w:r>
          </w:p>
        </w:tc>
        <w:tc>
          <w:tcPr>
            <w:tcW w:w="850" w:type="dxa"/>
            <w:shd w:val="clear" w:color="auto" w:fill="D0CECE" w:themeFill="background2" w:themeFillShade="E6"/>
            <w:vAlign w:val="center"/>
          </w:tcPr>
          <w:p w14:paraId="3E6C22D6" w14:textId="77777777" w:rsidR="001B4C75" w:rsidRPr="001B4C75" w:rsidRDefault="001B4C75" w:rsidP="008F7A63">
            <w:pPr>
              <w:jc w:val="center"/>
              <w:rPr>
                <w:rFonts w:ascii="EB Garamond" w:hAnsi="EB Garamond" w:cs="EB Garamond"/>
                <w:b/>
                <w:sz w:val="24"/>
                <w:szCs w:val="24"/>
              </w:rPr>
            </w:pPr>
            <w:r w:rsidRPr="001B4C75">
              <w:rPr>
                <w:rFonts w:ascii="EB Garamond" w:hAnsi="EB Garamond" w:cs="EB Garamond"/>
                <w:b/>
                <w:sz w:val="24"/>
                <w:szCs w:val="24"/>
              </w:rPr>
              <w:t>12170</w:t>
            </w:r>
          </w:p>
        </w:tc>
        <w:tc>
          <w:tcPr>
            <w:tcW w:w="850" w:type="dxa"/>
            <w:shd w:val="clear" w:color="auto" w:fill="D0CECE" w:themeFill="background2" w:themeFillShade="E6"/>
            <w:vAlign w:val="center"/>
          </w:tcPr>
          <w:p w14:paraId="5581347F" w14:textId="77777777" w:rsidR="001B4C75" w:rsidRPr="001B4C75" w:rsidRDefault="001B4C75" w:rsidP="008F7A63">
            <w:pPr>
              <w:jc w:val="center"/>
              <w:rPr>
                <w:rFonts w:ascii="EB Garamond" w:hAnsi="EB Garamond" w:cs="EB Garamond"/>
                <w:b/>
                <w:sz w:val="24"/>
                <w:szCs w:val="24"/>
              </w:rPr>
            </w:pPr>
            <w:r w:rsidRPr="001B4C75">
              <w:rPr>
                <w:rFonts w:ascii="EB Garamond" w:hAnsi="EB Garamond" w:cs="EB Garamond"/>
                <w:b/>
                <w:sz w:val="24"/>
                <w:szCs w:val="24"/>
              </w:rPr>
              <w:t>7658</w:t>
            </w:r>
          </w:p>
        </w:tc>
      </w:tr>
    </w:tbl>
    <w:p w14:paraId="6C7E7C1D" w14:textId="3C662E6D" w:rsidR="003B4007" w:rsidRPr="00BB7C26" w:rsidRDefault="003B4007" w:rsidP="007D3D23">
      <w:pPr>
        <w:spacing w:before="120" w:after="0" w:line="240" w:lineRule="auto"/>
        <w:jc w:val="both"/>
        <w:rPr>
          <w:rFonts w:ascii="EB Garamond" w:hAnsi="EB Garamond" w:cs="EB Garamond"/>
          <w:sz w:val="24"/>
          <w:szCs w:val="24"/>
        </w:rPr>
      </w:pPr>
      <w:r w:rsidRPr="00BB7C26">
        <w:rPr>
          <w:rFonts w:ascii="EB Garamond" w:hAnsi="EB Garamond" w:cs="EB Garamond"/>
          <w:sz w:val="24"/>
          <w:szCs w:val="24"/>
        </w:rPr>
        <w:t>Jól látszik, hogy 1970-re – a mini- és midibuszokat nem számítva – az Ikarus a világ egyik vezető nagy autóbusz-exportőrévé vált, 1975-re pedig egyértelműen a világ legnagyobb autóbusz-exportőr vállalata volt. Ezt a vezető szerepét a gyár ezt követően tovább erősítette, és az 1990-es évek elejéig megtartotta.</w:t>
      </w:r>
    </w:p>
    <w:sectPr w:rsidR="003B4007" w:rsidRPr="00BB7C26" w:rsidSect="00842322">
      <w:headerReference w:type="default" r:id="rId10"/>
      <w:footerReference w:type="default" r:id="rId11"/>
      <w:pgSz w:w="11906" w:h="16838"/>
      <w:pgMar w:top="1247" w:right="1361" w:bottom="1247"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9DCDD" w14:textId="77777777" w:rsidR="002A4195" w:rsidRDefault="002A4195" w:rsidP="00522F8B">
      <w:pPr>
        <w:spacing w:after="0" w:line="240" w:lineRule="auto"/>
      </w:pPr>
      <w:r>
        <w:separator/>
      </w:r>
    </w:p>
  </w:endnote>
  <w:endnote w:type="continuationSeparator" w:id="0">
    <w:p w14:paraId="661A32FE" w14:textId="77777777" w:rsidR="002A4195" w:rsidRDefault="002A4195" w:rsidP="00522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EB Garamond">
    <w:panose1 w:val="00000000000000000000"/>
    <w:charset w:val="EE"/>
    <w:family w:val="auto"/>
    <w:pitch w:val="variable"/>
    <w:sig w:usb0="E00002FF" w:usb1="5201E4FB" w:usb2="00000028" w:usb3="00000000" w:csb0="0000019F" w:csb1="00000000"/>
  </w:font>
  <w:font w:name="Open Sans">
    <w:panose1 w:val="00000000000000000000"/>
    <w:charset w:val="EE"/>
    <w:family w:val="auto"/>
    <w:pitch w:val="variable"/>
    <w:sig w:usb0="E00002FF" w:usb1="4000201B" w:usb2="00000028"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2288959"/>
      <w:docPartObj>
        <w:docPartGallery w:val="Page Numbers (Bottom of Page)"/>
        <w:docPartUnique/>
      </w:docPartObj>
    </w:sdtPr>
    <w:sdtEndPr>
      <w:rPr>
        <w:rFonts w:ascii="EB Garamond" w:hAnsi="EB Garamond" w:cs="EB Garamond"/>
        <w:sz w:val="24"/>
        <w:szCs w:val="24"/>
      </w:rPr>
    </w:sdtEndPr>
    <w:sdtContent>
      <w:p w14:paraId="6F5ED2D8" w14:textId="0C01F121" w:rsidR="00522F8B" w:rsidRPr="00522F8B" w:rsidRDefault="00522F8B" w:rsidP="00522F8B">
        <w:pPr>
          <w:pStyle w:val="llb"/>
          <w:pBdr>
            <w:top w:val="single" w:sz="4" w:space="1" w:color="auto"/>
          </w:pBdr>
          <w:jc w:val="center"/>
          <w:rPr>
            <w:rFonts w:ascii="EB Garamond" w:hAnsi="EB Garamond" w:cs="EB Garamond"/>
            <w:sz w:val="24"/>
            <w:szCs w:val="24"/>
          </w:rPr>
        </w:pPr>
        <w:r w:rsidRPr="00522F8B">
          <w:rPr>
            <w:rFonts w:ascii="EB Garamond" w:hAnsi="EB Garamond" w:cs="EB Garamond"/>
            <w:sz w:val="24"/>
            <w:szCs w:val="24"/>
          </w:rPr>
          <w:fldChar w:fldCharType="begin"/>
        </w:r>
        <w:r w:rsidRPr="00522F8B">
          <w:rPr>
            <w:rFonts w:ascii="EB Garamond" w:hAnsi="EB Garamond" w:cs="EB Garamond"/>
            <w:sz w:val="24"/>
            <w:szCs w:val="24"/>
          </w:rPr>
          <w:instrText>PAGE   \* MERGEFORMAT</w:instrText>
        </w:r>
        <w:r w:rsidRPr="00522F8B">
          <w:rPr>
            <w:rFonts w:ascii="EB Garamond" w:hAnsi="EB Garamond" w:cs="EB Garamond"/>
            <w:sz w:val="24"/>
            <w:szCs w:val="24"/>
          </w:rPr>
          <w:fldChar w:fldCharType="separate"/>
        </w:r>
        <w:r w:rsidRPr="00522F8B">
          <w:rPr>
            <w:rFonts w:ascii="EB Garamond" w:hAnsi="EB Garamond" w:cs="EB Garamond"/>
            <w:sz w:val="24"/>
            <w:szCs w:val="24"/>
          </w:rPr>
          <w:t>2</w:t>
        </w:r>
        <w:r w:rsidRPr="00522F8B">
          <w:rPr>
            <w:rFonts w:ascii="EB Garamond" w:hAnsi="EB Garamond" w:cs="EB Garamond"/>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25ADB" w14:textId="77777777" w:rsidR="002A4195" w:rsidRDefault="002A4195" w:rsidP="00522F8B">
      <w:pPr>
        <w:spacing w:after="0" w:line="240" w:lineRule="auto"/>
      </w:pPr>
      <w:r>
        <w:separator/>
      </w:r>
    </w:p>
  </w:footnote>
  <w:footnote w:type="continuationSeparator" w:id="0">
    <w:p w14:paraId="106BFA8C" w14:textId="77777777" w:rsidR="002A4195" w:rsidRDefault="002A4195" w:rsidP="00522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FD68A" w14:textId="223A9B58" w:rsidR="00522F8B" w:rsidRDefault="00522F8B" w:rsidP="00522F8B">
    <w:pPr>
      <w:pStyle w:val="lfej"/>
      <w:pBdr>
        <w:bottom w:val="single" w:sz="4" w:space="1" w:color="auto"/>
      </w:pBdr>
      <w:jc w:val="center"/>
    </w:pPr>
    <w:r>
      <w:rPr>
        <w:noProof/>
      </w:rPr>
      <w:drawing>
        <wp:inline distT="0" distB="0" distL="0" distR="0" wp14:anchorId="3D6642EE" wp14:editId="3561DFF6">
          <wp:extent cx="1018537" cy="144000"/>
          <wp:effectExtent l="0" t="0" r="0" b="889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karus_felirat.png"/>
                  <pic:cNvPicPr/>
                </pic:nvPicPr>
                <pic:blipFill>
                  <a:blip r:embed="rId1">
                    <a:extLst>
                      <a:ext uri="{28A0092B-C50C-407E-A947-70E740481C1C}">
                        <a14:useLocalDpi xmlns:a14="http://schemas.microsoft.com/office/drawing/2010/main" val="0"/>
                      </a:ext>
                    </a:extLst>
                  </a:blip>
                  <a:stretch>
                    <a:fillRect/>
                  </a:stretch>
                </pic:blipFill>
                <pic:spPr>
                  <a:xfrm>
                    <a:off x="0" y="0"/>
                    <a:ext cx="1018537" cy="1440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E9"/>
    <w:rsid w:val="001053D2"/>
    <w:rsid w:val="00121A71"/>
    <w:rsid w:val="001B4C75"/>
    <w:rsid w:val="002A4195"/>
    <w:rsid w:val="00343876"/>
    <w:rsid w:val="003B4007"/>
    <w:rsid w:val="003E0FB9"/>
    <w:rsid w:val="004022A8"/>
    <w:rsid w:val="00522F8B"/>
    <w:rsid w:val="005D3D29"/>
    <w:rsid w:val="006B413F"/>
    <w:rsid w:val="007C38F2"/>
    <w:rsid w:val="007D3D23"/>
    <w:rsid w:val="00824516"/>
    <w:rsid w:val="00842322"/>
    <w:rsid w:val="008B6AE9"/>
    <w:rsid w:val="008E36B6"/>
    <w:rsid w:val="008F7A63"/>
    <w:rsid w:val="00967724"/>
    <w:rsid w:val="00984DB8"/>
    <w:rsid w:val="009C5D94"/>
    <w:rsid w:val="00A77EE2"/>
    <w:rsid w:val="00BB7C26"/>
    <w:rsid w:val="00CB498C"/>
    <w:rsid w:val="00F66AD6"/>
    <w:rsid w:val="00F92A9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36068"/>
  <w15:chartTrackingRefBased/>
  <w15:docId w15:val="{F6CA6539-3E90-4FFE-96E1-6578BD34D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7C38F2"/>
    <w:pPr>
      <w:keepNext/>
      <w:keepLines/>
      <w:spacing w:before="480" w:after="240"/>
      <w:outlineLvl w:val="0"/>
    </w:pPr>
    <w:rPr>
      <w:rFonts w:ascii="EB Garamond" w:eastAsiaTheme="majorEastAsia" w:hAnsi="EB Garamond" w:cs="EB Garamond"/>
      <w:b/>
      <w:sz w:val="40"/>
      <w:szCs w:val="40"/>
    </w:rPr>
  </w:style>
  <w:style w:type="paragraph" w:styleId="Cmsor2">
    <w:name w:val="heading 2"/>
    <w:basedOn w:val="Norml"/>
    <w:next w:val="Norml"/>
    <w:link w:val="Cmsor2Char"/>
    <w:uiPriority w:val="9"/>
    <w:unhideWhenUsed/>
    <w:qFormat/>
    <w:rsid w:val="00967724"/>
    <w:pPr>
      <w:keepNext/>
      <w:keepLines/>
      <w:spacing w:before="240" w:after="120"/>
      <w:outlineLvl w:val="1"/>
    </w:pPr>
    <w:rPr>
      <w:rFonts w:ascii="EB Garamond" w:eastAsiaTheme="majorEastAsia" w:hAnsi="EB Garamond" w:cs="EB Garamond"/>
      <w:b/>
      <w:sz w:val="30"/>
      <w:szCs w:val="3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7C38F2"/>
    <w:rPr>
      <w:rFonts w:ascii="EB Garamond" w:eastAsiaTheme="majorEastAsia" w:hAnsi="EB Garamond" w:cs="EB Garamond"/>
      <w:b/>
      <w:sz w:val="40"/>
      <w:szCs w:val="40"/>
    </w:rPr>
  </w:style>
  <w:style w:type="character" w:customStyle="1" w:styleId="Cmsor2Char">
    <w:name w:val="Címsor 2 Char"/>
    <w:basedOn w:val="Bekezdsalapbettpusa"/>
    <w:link w:val="Cmsor2"/>
    <w:uiPriority w:val="9"/>
    <w:rsid w:val="00967724"/>
    <w:rPr>
      <w:rFonts w:ascii="EB Garamond" w:eastAsiaTheme="majorEastAsia" w:hAnsi="EB Garamond" w:cs="EB Garamond"/>
      <w:b/>
      <w:sz w:val="30"/>
      <w:szCs w:val="30"/>
    </w:rPr>
  </w:style>
  <w:style w:type="paragraph" w:styleId="lfej">
    <w:name w:val="header"/>
    <w:basedOn w:val="Norml"/>
    <w:link w:val="lfejChar"/>
    <w:uiPriority w:val="99"/>
    <w:unhideWhenUsed/>
    <w:rsid w:val="00522F8B"/>
    <w:pPr>
      <w:tabs>
        <w:tab w:val="center" w:pos="4536"/>
        <w:tab w:val="right" w:pos="9072"/>
      </w:tabs>
      <w:spacing w:after="0" w:line="240" w:lineRule="auto"/>
    </w:pPr>
  </w:style>
  <w:style w:type="character" w:customStyle="1" w:styleId="lfejChar">
    <w:name w:val="Élőfej Char"/>
    <w:basedOn w:val="Bekezdsalapbettpusa"/>
    <w:link w:val="lfej"/>
    <w:uiPriority w:val="99"/>
    <w:rsid w:val="00522F8B"/>
  </w:style>
  <w:style w:type="paragraph" w:styleId="llb">
    <w:name w:val="footer"/>
    <w:basedOn w:val="Norml"/>
    <w:link w:val="llbChar"/>
    <w:uiPriority w:val="99"/>
    <w:unhideWhenUsed/>
    <w:rsid w:val="00522F8B"/>
    <w:pPr>
      <w:tabs>
        <w:tab w:val="center" w:pos="4536"/>
        <w:tab w:val="right" w:pos="9072"/>
      </w:tabs>
      <w:spacing w:after="0" w:line="240" w:lineRule="auto"/>
    </w:pPr>
  </w:style>
  <w:style w:type="character" w:customStyle="1" w:styleId="llbChar">
    <w:name w:val="Élőláb Char"/>
    <w:basedOn w:val="Bekezdsalapbettpusa"/>
    <w:link w:val="llb"/>
    <w:uiPriority w:val="99"/>
    <w:rsid w:val="00522F8B"/>
  </w:style>
  <w:style w:type="table" w:styleId="Rcsostblzat">
    <w:name w:val="Table Grid"/>
    <w:basedOn w:val="Normltblzat"/>
    <w:uiPriority w:val="39"/>
    <w:rsid w:val="001B4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91720-4AA6-4D2A-AF85-CFCB43597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1292</Words>
  <Characters>8921</Characters>
  <Application>Microsoft Office Word</Application>
  <DocSecurity>0</DocSecurity>
  <Lines>74</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érettségi</dc:creator>
  <cp:keywords/>
  <dc:description/>
  <cp:lastModifiedBy>érettségi</cp:lastModifiedBy>
  <cp:revision>23</cp:revision>
  <dcterms:created xsi:type="dcterms:W3CDTF">2023-05-15T06:06:00Z</dcterms:created>
  <dcterms:modified xsi:type="dcterms:W3CDTF">2023-05-15T09:01:00Z</dcterms:modified>
</cp:coreProperties>
</file>