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8BAE" w14:textId="77777777" w:rsidR="00393F4F" w:rsidRPr="009C5675" w:rsidRDefault="00393F4F" w:rsidP="009C5675">
      <w:pPr>
        <w:spacing w:after="320"/>
        <w:jc w:val="center"/>
        <w:rPr>
          <w:b/>
          <w:sz w:val="32"/>
        </w:rPr>
      </w:pPr>
      <w:proofErr w:type="spellStart"/>
      <w:r w:rsidRPr="009C5675">
        <w:rPr>
          <w:b/>
          <w:sz w:val="32"/>
        </w:rPr>
        <w:t>AgroFood</w:t>
      </w:r>
      <w:proofErr w:type="spellEnd"/>
      <w:r w:rsidRPr="009C5675">
        <w:rPr>
          <w:b/>
          <w:sz w:val="32"/>
        </w:rPr>
        <w:t xml:space="preserve"> Konferencia</w:t>
      </w:r>
    </w:p>
    <w:p w14:paraId="63608C6B" w14:textId="77777777" w:rsidR="00393F4F" w:rsidRPr="00393F4F" w:rsidRDefault="00393F4F" w:rsidP="009C5675">
      <w:pPr>
        <w:pStyle w:val="Cmsor1"/>
      </w:pPr>
      <w:r w:rsidRPr="00393F4F">
        <w:t>Miért jöjjön el?</w:t>
      </w:r>
    </w:p>
    <w:p w14:paraId="09F7C888" w14:textId="77777777" w:rsidR="00393F4F" w:rsidRDefault="00393F4F" w:rsidP="009C5675">
      <w:pPr>
        <w:jc w:val="both"/>
      </w:pPr>
      <w:r>
        <w:t xml:space="preserve">A </w:t>
      </w:r>
      <w:proofErr w:type="spellStart"/>
      <w:r>
        <w:t>Folio</w:t>
      </w:r>
      <w:proofErr w:type="spellEnd"/>
      <w:r>
        <w:t xml:space="preserve"> Csoport év végi </w:t>
      </w:r>
      <w:proofErr w:type="spellStart"/>
      <w:r>
        <w:t>AgroFood</w:t>
      </w:r>
      <w:proofErr w:type="spellEnd"/>
      <w:r>
        <w:t xml:space="preserve"> Konferenciája ma már az egyik legnagyobb és legmeghatározóbb agrárszakmai esemény a hazai agrárgazdaságban. A kétnapos rendezvény exkluzivitását és különlegességét az adja, hogy egyedülállóan átfogó és részletes módon jeleníti meg a mező- és élelmiszergazdaságot érintő legaktuálisabb témákat. A konferencia így a lehető legteljesebb körű tájékoztatást nyújtja az agrárium sorsát döntően befolyásoló folyamatokról, és az éves agráresemények összegzése és értékelése mellett hosszabb távú jövőképet is felvázol a résztvevők számára a megalapozott fejlesztési és beruházási döntésekhez.</w:t>
      </w:r>
    </w:p>
    <w:p w14:paraId="01D4ACDA" w14:textId="77777777" w:rsidR="00393F4F" w:rsidRDefault="00393F4F" w:rsidP="009C5675">
      <w:pPr>
        <w:jc w:val="both"/>
      </w:pPr>
      <w:r>
        <w:t xml:space="preserve">A konferencián a hazai államigazgatási, banki, vállalati és érdekképviseleti szféra csúcsvezetői nyújtanak első kézből származó, releváns információkat, amelyek az agrárgazdaság valamennyi szereplője – a termelők, az élelmiszergyártók és a kereskedők – számára egyaránt hasznos </w:t>
      </w:r>
      <w:proofErr w:type="spellStart"/>
      <w:r>
        <w:t>tájékoztatásul</w:t>
      </w:r>
      <w:proofErr w:type="spellEnd"/>
      <w:r>
        <w:t xml:space="preserve"> szolgálhatnak. Emellett a rendezvény széles körű bemutatkozási és piacépítési lehetőséget biztosít az agráriumot kiszolgáló vállalkozások – inputgyártók, integrátorok, gépforgalmazók, finanszírozási és egyéb szolgáltatók – számára.</w:t>
      </w:r>
    </w:p>
    <w:p w14:paraId="56F7D773" w14:textId="77777777" w:rsidR="00393F4F" w:rsidRDefault="00393F4F" w:rsidP="009C5675">
      <w:pPr>
        <w:jc w:val="both"/>
      </w:pPr>
      <w:r>
        <w:t xml:space="preserve">A konferencia a tartalmas programkínálaton túl alkalmat teremt a szakmai kapcsolatépítésre, a </w:t>
      </w:r>
      <w:proofErr w:type="spellStart"/>
      <w:r>
        <w:t>networkingre</w:t>
      </w:r>
      <w:proofErr w:type="spellEnd"/>
      <w:r>
        <w:t xml:space="preserve"> és az üzleti tárgyalásokra, az első napi szakmai előadások és kerekasztal-beszélgetések után pedig szórakoztató műsorral járul hozzá a résztvevők feltöltődéséhez és kikapcsolódásához.</w:t>
      </w:r>
    </w:p>
    <w:p w14:paraId="7D112FB7" w14:textId="77777777" w:rsidR="00393F4F" w:rsidRPr="00393F4F" w:rsidRDefault="00393F4F" w:rsidP="009C5675">
      <w:pPr>
        <w:pStyle w:val="Cmsor1"/>
      </w:pPr>
      <w:r w:rsidRPr="00393F4F">
        <w:t xml:space="preserve">Kiemelt </w:t>
      </w:r>
      <w:r w:rsidRPr="009C5675">
        <w:t>témáink</w:t>
      </w:r>
    </w:p>
    <w:p w14:paraId="176087A1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a magyar agrárgazdaság közép- és hossz távú perspektívái, kitörési lehetőségei</w:t>
      </w:r>
    </w:p>
    <w:p w14:paraId="6D3FE09C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az agrárium 2024-es eredményei, helyzetértékelése</w:t>
      </w:r>
    </w:p>
    <w:p w14:paraId="4698B88F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az uniós Közös Agrárpolitika szabályrendszerének legfontosabb változásai</w:t>
      </w:r>
    </w:p>
    <w:p w14:paraId="6BED1166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vidékfejlesztési pályázati lehetőségek 2025-ben</w:t>
      </w:r>
    </w:p>
    <w:p w14:paraId="00C172E4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az ukrán mezőgazdasági termelés hosszú távú hatása a magyar mezőgazdaságra</w:t>
      </w:r>
    </w:p>
    <w:p w14:paraId="1861399F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az uniós és a hazai agrártermelés zöld követelményei, új szabályozási irányok</w:t>
      </w:r>
    </w:p>
    <w:p w14:paraId="64EC435B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a fenntartható mezőgazdaság és a körforgásos gazdálkodás követelményrendszere, új támogatási lehetőségek</w:t>
      </w:r>
    </w:p>
    <w:p w14:paraId="56E0E10C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az agrárfinanszírozás legújabb trendjei, banki követelmények, hitelhez jutási lehetőségek, kedvezményes hiteltermékek</w:t>
      </w:r>
    </w:p>
    <w:p w14:paraId="0C266992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a klímaváltozás hatása a hazai agrárgazdaságra, az aszály elleni lépések</w:t>
      </w:r>
    </w:p>
    <w:p w14:paraId="38ACC235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az öntözésfejlesztés magyarországi perspektívái, pályázati és támogatási lehetőségek</w:t>
      </w:r>
    </w:p>
    <w:p w14:paraId="56A33F9F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az állattenyésztési ágazatok kitörési esélyei, piaci helyzete és jövedelmezőségi viszonyai</w:t>
      </w:r>
    </w:p>
    <w:p w14:paraId="4FCCA4D5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 xml:space="preserve">az állatjólét és az állategészségügy aktualitás kérdései, támogatási és pályázati lehetőségek, védekezés az </w:t>
      </w:r>
      <w:proofErr w:type="spellStart"/>
      <w:r>
        <w:t>antimikrobiális</w:t>
      </w:r>
      <w:proofErr w:type="spellEnd"/>
      <w:r>
        <w:t xml:space="preserve"> rezisztencia ellen</w:t>
      </w:r>
    </w:p>
    <w:p w14:paraId="78DC52B2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a takarmányozás kihívásai 2025-ben, piaci trendek és új technológiák a takarmányozásban</w:t>
      </w:r>
    </w:p>
    <w:p w14:paraId="375D7645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a szántóföldi növénytermelés jövedelmezőségi kilátásai</w:t>
      </w:r>
    </w:p>
    <w:p w14:paraId="178EF56F" w14:textId="77777777" w:rsidR="00393F4F" w:rsidRDefault="00393F4F" w:rsidP="00393F4F">
      <w:pPr>
        <w:pStyle w:val="Listaszerbekezds"/>
        <w:numPr>
          <w:ilvl w:val="0"/>
          <w:numId w:val="9"/>
        </w:numPr>
      </w:pPr>
      <w:r>
        <w:t>árak és trendek a gabonaszektorban, várható piaci események 2025-ben </w:t>
      </w:r>
    </w:p>
    <w:p w14:paraId="626A57EC" w14:textId="77777777" w:rsidR="00393F4F" w:rsidRPr="009C5675" w:rsidRDefault="00393F4F" w:rsidP="009C5675">
      <w:pPr>
        <w:pageBreakBefore/>
        <w:spacing w:after="320"/>
        <w:jc w:val="center"/>
        <w:rPr>
          <w:b/>
          <w:sz w:val="32"/>
        </w:rPr>
      </w:pPr>
      <w:r w:rsidRPr="009C5675">
        <w:rPr>
          <w:b/>
          <w:sz w:val="32"/>
        </w:rPr>
        <w:lastRenderedPageBreak/>
        <w:t>Jelentkezési lap</w:t>
      </w:r>
    </w:p>
    <w:p w14:paraId="2E80C8A6" w14:textId="61955213" w:rsidR="00393F4F" w:rsidRPr="00393F4F" w:rsidRDefault="00393F4F" w:rsidP="00393F4F">
      <w:pPr>
        <w:jc w:val="center"/>
        <w:rPr>
          <w:b/>
        </w:rPr>
      </w:pPr>
      <w:proofErr w:type="spellStart"/>
      <w:r w:rsidRPr="00393F4F">
        <w:rPr>
          <w:b/>
        </w:rPr>
        <w:t>AgroFood</w:t>
      </w:r>
      <w:proofErr w:type="spellEnd"/>
      <w:r w:rsidRPr="00393F4F">
        <w:rPr>
          <w:b/>
        </w:rPr>
        <w:t xml:space="preserve"> Konferencia 2024</w:t>
      </w:r>
      <w:r w:rsidRPr="00393F4F">
        <w:rPr>
          <w:b/>
        </w:rPr>
        <w:br/>
        <w:t>2024. november 5-7.</w:t>
      </w:r>
      <w:r w:rsidRPr="00393F4F">
        <w:rPr>
          <w:b/>
        </w:rPr>
        <w:br/>
        <w:t xml:space="preserve">Hotel </w:t>
      </w:r>
      <w:proofErr w:type="spellStart"/>
      <w:r w:rsidRPr="00393F4F">
        <w:rPr>
          <w:b/>
        </w:rPr>
        <w:t>Superior</w:t>
      </w:r>
      <w:proofErr w:type="spellEnd"/>
      <w:r w:rsidRPr="00393F4F">
        <w:rPr>
          <w:b/>
        </w:rPr>
        <w:t>, Sopron</w:t>
      </w:r>
    </w:p>
    <w:p w14:paraId="1D9E4599" w14:textId="77777777" w:rsidR="00393F4F" w:rsidRPr="00393F4F" w:rsidRDefault="00393F4F" w:rsidP="009C5675">
      <w:pPr>
        <w:pStyle w:val="Cmsor1"/>
      </w:pPr>
      <w:r w:rsidRPr="00393F4F">
        <w:t>Beküldés</w:t>
      </w:r>
    </w:p>
    <w:p w14:paraId="5EDDB111" w14:textId="51CE8001" w:rsidR="00393F4F" w:rsidRDefault="00393F4F" w:rsidP="00286D27">
      <w:pPr>
        <w:tabs>
          <w:tab w:val="left" w:pos="2835"/>
        </w:tabs>
      </w:pPr>
      <w:r>
        <w:t>Beküldési cím:</w:t>
      </w:r>
      <w:r>
        <w:tab/>
        <w:t>9400 Sopron, Egyetem tér 1. Fax: (99) 123-456</w:t>
      </w:r>
      <w:r>
        <w:br/>
        <w:t>Beküldési határidő:</w:t>
      </w:r>
      <w:r>
        <w:tab/>
        <w:t>2010. január 2.</w:t>
      </w:r>
      <w:r>
        <w:br/>
        <w:t>Borítékra írja rá:</w:t>
      </w:r>
      <w:r>
        <w:tab/>
      </w:r>
      <w:proofErr w:type="spellStart"/>
      <w:r>
        <w:t>AgroFood</w:t>
      </w:r>
      <w:proofErr w:type="spellEnd"/>
      <w:r>
        <w:t xml:space="preserve"> Konferencia</w:t>
      </w:r>
    </w:p>
    <w:p w14:paraId="79DECA50" w14:textId="77777777" w:rsidR="00393F4F" w:rsidRPr="00393F4F" w:rsidRDefault="00393F4F" w:rsidP="009C5675">
      <w:pPr>
        <w:pStyle w:val="Cmsor1"/>
      </w:pPr>
      <w:r w:rsidRPr="00393F4F">
        <w:t>Személyes adatok</w:t>
      </w:r>
    </w:p>
    <w:p w14:paraId="0B5FB317" w14:textId="27D1E5A8" w:rsidR="00393F4F" w:rsidRDefault="00393F4F" w:rsidP="009C5675">
      <w:pPr>
        <w:tabs>
          <w:tab w:val="center" w:leader="underscore" w:pos="5670"/>
          <w:tab w:val="left" w:leader="underscore" w:pos="9072"/>
        </w:tabs>
        <w:spacing w:line="480" w:lineRule="auto"/>
      </w:pPr>
      <w:r>
        <w:t>Név:</w:t>
      </w:r>
      <w:r>
        <w:tab/>
        <w:t>Születési dátum:</w:t>
      </w:r>
      <w:r>
        <w:tab/>
      </w:r>
      <w:r w:rsidR="00E17FFB">
        <w:br/>
      </w:r>
      <w:r>
        <w:t>Telefonszám:</w:t>
      </w:r>
      <w:r>
        <w:tab/>
        <w:t>E-mail cím:</w:t>
      </w:r>
      <w:r>
        <w:tab/>
      </w:r>
    </w:p>
    <w:p w14:paraId="716629AE" w14:textId="77777777" w:rsidR="00393F4F" w:rsidRPr="00393F4F" w:rsidRDefault="00393F4F" w:rsidP="009C5675">
      <w:pPr>
        <w:pStyle w:val="Cmsor1"/>
      </w:pPr>
      <w:r w:rsidRPr="00393F4F">
        <w:t>Munkahely adatai</w:t>
      </w:r>
    </w:p>
    <w:p w14:paraId="453C5B52" w14:textId="689577F0" w:rsidR="00393F4F" w:rsidRDefault="00393F4F" w:rsidP="009C5675">
      <w:pPr>
        <w:tabs>
          <w:tab w:val="left" w:pos="2835"/>
          <w:tab w:val="left" w:leader="underscore" w:pos="9072"/>
        </w:tabs>
        <w:spacing w:line="480" w:lineRule="auto"/>
      </w:pPr>
      <w:r>
        <w:t>Munkahely neve:</w:t>
      </w:r>
      <w:r>
        <w:tab/>
      </w:r>
      <w:r w:rsidR="003D30B1">
        <w:tab/>
      </w:r>
      <w:r w:rsidR="003D30B1">
        <w:br/>
      </w:r>
      <w:r>
        <w:t>Munkahely címe:</w:t>
      </w:r>
      <w:r>
        <w:tab/>
      </w:r>
      <w:r w:rsidR="003D30B1">
        <w:tab/>
      </w:r>
      <w:r w:rsidR="003D30B1">
        <w:br/>
      </w:r>
      <w:r>
        <w:t>Munkahely telefonszáma:</w:t>
      </w:r>
      <w:r>
        <w:tab/>
      </w:r>
      <w:r w:rsidR="003D30B1">
        <w:tab/>
      </w:r>
    </w:p>
    <w:p w14:paraId="378825F7" w14:textId="77777777" w:rsidR="00393F4F" w:rsidRPr="00393F4F" w:rsidRDefault="00393F4F" w:rsidP="009C5675">
      <w:pPr>
        <w:pStyle w:val="Cmsor1"/>
      </w:pPr>
      <w:r w:rsidRPr="00393F4F">
        <w:t>Mely napokon kíván részt venni a konferencián?</w:t>
      </w:r>
    </w:p>
    <w:p w14:paraId="6CB60E7A" w14:textId="4F32AAD4" w:rsidR="00393F4F" w:rsidRDefault="00F91E4B" w:rsidP="003D30B1">
      <w:pPr>
        <w:tabs>
          <w:tab w:val="center" w:pos="2835"/>
          <w:tab w:val="right" w:pos="5670"/>
        </w:tabs>
      </w:pPr>
      <w:r>
        <w:sym w:font="Wingdings" w:char="F06F"/>
      </w:r>
      <w:r>
        <w:t xml:space="preserve"> </w:t>
      </w:r>
      <w:r w:rsidR="00393F4F">
        <w:t>2024.11.05</w:t>
      </w:r>
      <w:r w:rsidR="00393F4F">
        <w:tab/>
        <w:t>kedd</w:t>
      </w:r>
      <w:r w:rsidR="00393F4F">
        <w:tab/>
        <w:t>plenáris</w:t>
      </w:r>
      <w:r w:rsidR="00286D27">
        <w:br/>
      </w:r>
      <w:r>
        <w:sym w:font="Wingdings" w:char="F06F"/>
      </w:r>
      <w:r>
        <w:t xml:space="preserve"> </w:t>
      </w:r>
      <w:r w:rsidR="00393F4F">
        <w:t>2024.11.06</w:t>
      </w:r>
      <w:r w:rsidR="00393F4F">
        <w:tab/>
        <w:t>szerda</w:t>
      </w:r>
      <w:r w:rsidR="00393F4F">
        <w:tab/>
        <w:t>plenáris és szekció</w:t>
      </w:r>
      <w:r w:rsidR="00286D27">
        <w:br/>
      </w:r>
      <w:r>
        <w:sym w:font="Wingdings" w:char="F06F"/>
      </w:r>
      <w:r>
        <w:t xml:space="preserve"> </w:t>
      </w:r>
      <w:r w:rsidR="00393F4F">
        <w:t>2024.11.07</w:t>
      </w:r>
      <w:r w:rsidR="00393F4F">
        <w:tab/>
        <w:t>csütörtök</w:t>
      </w:r>
      <w:r w:rsidR="00393F4F">
        <w:tab/>
        <w:t xml:space="preserve">plenáris </w:t>
      </w:r>
    </w:p>
    <w:p w14:paraId="1F563DC8" w14:textId="4CBA2E63" w:rsidR="00393F4F" w:rsidRPr="00393F4F" w:rsidRDefault="00393F4F" w:rsidP="009C5675">
      <w:pPr>
        <w:pStyle w:val="Cmsor1"/>
      </w:pPr>
      <w:r w:rsidRPr="00393F4F">
        <w:t>Részvételi díj</w:t>
      </w:r>
      <w:r w:rsidR="009C5675">
        <w:rPr>
          <w:rStyle w:val="Lbjegyzet-hivatkozs"/>
        </w:rPr>
        <w:footnoteReference w:id="1"/>
      </w:r>
    </w:p>
    <w:p w14:paraId="4A8CE504" w14:textId="63234ABD" w:rsidR="00393F4F" w:rsidRDefault="00393F4F" w:rsidP="003D30B1">
      <w:pPr>
        <w:tabs>
          <w:tab w:val="center" w:pos="7938"/>
        </w:tabs>
      </w:pPr>
      <w:r>
        <w:t>Kérjük, válasszon az alábbiak közül:</w:t>
      </w:r>
      <w:r w:rsidR="00E72FDB">
        <w:tab/>
      </w:r>
      <w:r>
        <w:t>Részvételi díj (EUR)</w:t>
      </w:r>
    </w:p>
    <w:p w14:paraId="098157B0" w14:textId="592893D5" w:rsidR="00393F4F" w:rsidRDefault="00F91E4B" w:rsidP="003D30B1">
      <w:pPr>
        <w:tabs>
          <w:tab w:val="decimal" w:pos="7938"/>
        </w:tabs>
      </w:pPr>
      <w:r>
        <w:sym w:font="Wingdings" w:char="F06F"/>
      </w:r>
      <w:r>
        <w:t xml:space="preserve"> </w:t>
      </w:r>
      <w:r w:rsidR="00393F4F">
        <w:t>Nemzeti Agrárgazdasági Kamara tagja vagyok (80% kedvezmény)</w:t>
      </w:r>
      <w:r w:rsidR="00E72FDB">
        <w:tab/>
      </w:r>
      <w:r w:rsidR="00393F4F">
        <w:t>87</w:t>
      </w:r>
      <w:r w:rsidR="003D30B1">
        <w:br/>
      </w:r>
      <w:r>
        <w:sym w:font="Wingdings" w:char="F06F"/>
      </w:r>
      <w:r>
        <w:t xml:space="preserve"> </w:t>
      </w:r>
      <w:r w:rsidR="00393F4F">
        <w:t>Jelenleg GYES-en, GYED-en vagyok (30% kedvezmény)</w:t>
      </w:r>
      <w:r w:rsidR="00E72FDB">
        <w:tab/>
      </w:r>
      <w:r w:rsidR="00393F4F">
        <w:t xml:space="preserve">304,5 </w:t>
      </w:r>
      <w:r w:rsidR="003D30B1">
        <w:br/>
      </w:r>
      <w:r>
        <w:sym w:font="Wingdings" w:char="F06F"/>
      </w:r>
      <w:r>
        <w:t xml:space="preserve"> </w:t>
      </w:r>
      <w:r w:rsidR="00393F4F">
        <w:t>Nyugdíjas vagyok (35% kedvezmény)</w:t>
      </w:r>
      <w:r w:rsidR="00E72FDB">
        <w:tab/>
      </w:r>
      <w:r w:rsidR="00393F4F">
        <w:t>282,75</w:t>
      </w:r>
      <w:r w:rsidR="003D30B1">
        <w:br/>
      </w:r>
      <w:r>
        <w:sym w:font="Wingdings" w:char="F06F"/>
      </w:r>
      <w:r>
        <w:t xml:space="preserve"> </w:t>
      </w:r>
      <w:r w:rsidR="00393F4F">
        <w:t>Egyik fenti állítás sem vonatkozik rám (teljes árú)</w:t>
      </w:r>
      <w:r w:rsidR="00E72FDB">
        <w:tab/>
      </w:r>
      <w:r w:rsidR="00393F4F">
        <w:t>435</w:t>
      </w:r>
    </w:p>
    <w:p w14:paraId="420DA5A6" w14:textId="3D20FA16" w:rsidR="00393F4F" w:rsidRDefault="00393F4F" w:rsidP="009C5675">
      <w:pPr>
        <w:tabs>
          <w:tab w:val="left" w:leader="dot" w:pos="2835"/>
          <w:tab w:val="left" w:pos="5670"/>
          <w:tab w:val="left" w:leader="dot" w:pos="9072"/>
        </w:tabs>
        <w:spacing w:before="1200" w:after="0"/>
      </w:pPr>
      <w:r>
        <w:t>Dátum:</w:t>
      </w:r>
      <w:bookmarkStart w:id="0" w:name="_GoBack"/>
      <w:bookmarkEnd w:id="0"/>
      <w:r>
        <w:tab/>
      </w:r>
      <w:r w:rsidR="009C5675">
        <w:tab/>
      </w:r>
      <w:r w:rsidR="009C5675">
        <w:tab/>
      </w:r>
    </w:p>
    <w:p w14:paraId="7D31420B" w14:textId="20989950" w:rsidR="00930AAA" w:rsidRDefault="00393F4F" w:rsidP="00082F99">
      <w:pPr>
        <w:ind w:left="5670"/>
        <w:jc w:val="center"/>
      </w:pPr>
      <w:r>
        <w:t>aláírás</w:t>
      </w:r>
    </w:p>
    <w:sectPr w:rsidR="00930AAA" w:rsidSect="009C5675">
      <w:headerReference w:type="default" r:id="rId8"/>
      <w:footerReference w:type="default" r:id="rId9"/>
      <w:footerReference w:type="first" r:id="rId10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08DD9" w14:textId="77777777" w:rsidR="001A64CA" w:rsidRDefault="001A64CA" w:rsidP="00393F4F">
      <w:pPr>
        <w:spacing w:after="0" w:line="240" w:lineRule="auto"/>
      </w:pPr>
      <w:r>
        <w:separator/>
      </w:r>
    </w:p>
  </w:endnote>
  <w:endnote w:type="continuationSeparator" w:id="0">
    <w:p w14:paraId="17E30997" w14:textId="77777777" w:rsidR="001A64CA" w:rsidRDefault="001A64CA" w:rsidP="0039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EE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EE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5CAEA" w14:textId="06472578" w:rsidR="009C5675" w:rsidRDefault="009C5675" w:rsidP="009C5675">
    <w:pPr>
      <w:pStyle w:val="llb"/>
      <w:pBdr>
        <w:top w:val="single" w:sz="4" w:space="1" w:color="auto"/>
      </w:pBdr>
      <w:tabs>
        <w:tab w:val="left" w:pos="5550"/>
      </w:tabs>
      <w:ind w:left="3969" w:right="396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B37B2" w14:textId="4FDD5026" w:rsidR="009C5675" w:rsidRDefault="009C5675" w:rsidP="009C5675">
    <w:pPr>
      <w:pStyle w:val="llb"/>
      <w:pBdr>
        <w:top w:val="single" w:sz="4" w:space="1" w:color="auto"/>
      </w:pBdr>
      <w:tabs>
        <w:tab w:val="left" w:pos="5550"/>
      </w:tabs>
      <w:ind w:left="3969" w:right="396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 w:rsidR="001A64CA">
      <w:fldChar w:fldCharType="begin"/>
    </w:r>
    <w:r w:rsidR="001A64CA">
      <w:instrText xml:space="preserve"> NUMPAGES   \* MERGEFORMAT </w:instrText>
    </w:r>
    <w:r w:rsidR="001A64CA">
      <w:fldChar w:fldCharType="separate"/>
    </w:r>
    <w:r>
      <w:rPr>
        <w:noProof/>
      </w:rPr>
      <w:t>2</w:t>
    </w:r>
    <w:r w:rsidR="001A64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3DA35" w14:textId="77777777" w:rsidR="001A64CA" w:rsidRDefault="001A64CA" w:rsidP="00393F4F">
      <w:pPr>
        <w:spacing w:after="0" w:line="240" w:lineRule="auto"/>
      </w:pPr>
      <w:r>
        <w:separator/>
      </w:r>
    </w:p>
  </w:footnote>
  <w:footnote w:type="continuationSeparator" w:id="0">
    <w:p w14:paraId="2643610C" w14:textId="77777777" w:rsidR="001A64CA" w:rsidRDefault="001A64CA" w:rsidP="00393F4F">
      <w:pPr>
        <w:spacing w:after="0" w:line="240" w:lineRule="auto"/>
      </w:pPr>
      <w:r>
        <w:continuationSeparator/>
      </w:r>
    </w:p>
  </w:footnote>
  <w:footnote w:id="1">
    <w:p w14:paraId="1D9279D0" w14:textId="401B24F9" w:rsidR="009C5675" w:rsidRDefault="009C5675">
      <w:pPr>
        <w:pStyle w:val="Lbjegyzetszveg"/>
      </w:pPr>
      <w:r w:rsidRPr="009C5675">
        <w:rPr>
          <w:rStyle w:val="Lbjegyzet-hivatkozs"/>
          <w:sz w:val="22"/>
        </w:rPr>
        <w:footnoteRef/>
      </w:r>
      <w:r w:rsidRPr="009C5675">
        <w:rPr>
          <w:sz w:val="22"/>
        </w:rPr>
        <w:t xml:space="preserve"> A részvételi díj független attól, hogy hány napon vesz részt a konferencián.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5EFF" w14:textId="63B32913" w:rsidR="009C5675" w:rsidRPr="009C5675" w:rsidRDefault="009C5675" w:rsidP="009C5675">
    <w:pPr>
      <w:pStyle w:val="lfej"/>
      <w:tabs>
        <w:tab w:val="clear" w:pos="4536"/>
      </w:tabs>
      <w:rPr>
        <w:i/>
      </w:rPr>
    </w:pPr>
    <w:proofErr w:type="spellStart"/>
    <w:r w:rsidRPr="009C5675">
      <w:rPr>
        <w:i/>
      </w:rPr>
      <w:t>AgroFood</w:t>
    </w:r>
    <w:proofErr w:type="spellEnd"/>
    <w:r w:rsidRPr="009C5675">
      <w:rPr>
        <w:i/>
      </w:rPr>
      <w:t xml:space="preserve"> Konferencia</w:t>
    </w:r>
    <w:r w:rsidRPr="009C5675">
      <w:rPr>
        <w:i/>
      </w:rPr>
      <w:tab/>
      <w:t>Sopron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384D"/>
    <w:multiLevelType w:val="hybridMultilevel"/>
    <w:tmpl w:val="2C70442E"/>
    <w:lvl w:ilvl="0" w:tplc="F918990E">
      <w:start w:val="1"/>
      <w:numFmt w:val="decimal"/>
      <w:pStyle w:val="TJ2"/>
      <w:lvlText w:val="%1."/>
      <w:lvlJc w:val="left"/>
      <w:pPr>
        <w:ind w:left="220" w:hanging="360"/>
      </w:pPr>
    </w:lvl>
    <w:lvl w:ilvl="1" w:tplc="040E0019" w:tentative="1">
      <w:start w:val="1"/>
      <w:numFmt w:val="lowerLetter"/>
      <w:lvlText w:val="%2."/>
      <w:lvlJc w:val="left"/>
      <w:pPr>
        <w:ind w:left="940" w:hanging="360"/>
      </w:pPr>
    </w:lvl>
    <w:lvl w:ilvl="2" w:tplc="040E001B" w:tentative="1">
      <w:start w:val="1"/>
      <w:numFmt w:val="lowerRoman"/>
      <w:lvlText w:val="%3."/>
      <w:lvlJc w:val="right"/>
      <w:pPr>
        <w:ind w:left="1660" w:hanging="180"/>
      </w:pPr>
    </w:lvl>
    <w:lvl w:ilvl="3" w:tplc="040E000F" w:tentative="1">
      <w:start w:val="1"/>
      <w:numFmt w:val="decimal"/>
      <w:lvlText w:val="%4."/>
      <w:lvlJc w:val="left"/>
      <w:pPr>
        <w:ind w:left="2380" w:hanging="360"/>
      </w:pPr>
    </w:lvl>
    <w:lvl w:ilvl="4" w:tplc="040E0019" w:tentative="1">
      <w:start w:val="1"/>
      <w:numFmt w:val="lowerLetter"/>
      <w:lvlText w:val="%5."/>
      <w:lvlJc w:val="left"/>
      <w:pPr>
        <w:ind w:left="3100" w:hanging="360"/>
      </w:pPr>
    </w:lvl>
    <w:lvl w:ilvl="5" w:tplc="040E001B" w:tentative="1">
      <w:start w:val="1"/>
      <w:numFmt w:val="lowerRoman"/>
      <w:lvlText w:val="%6."/>
      <w:lvlJc w:val="right"/>
      <w:pPr>
        <w:ind w:left="3820" w:hanging="180"/>
      </w:pPr>
    </w:lvl>
    <w:lvl w:ilvl="6" w:tplc="040E000F" w:tentative="1">
      <w:start w:val="1"/>
      <w:numFmt w:val="decimal"/>
      <w:lvlText w:val="%7."/>
      <w:lvlJc w:val="left"/>
      <w:pPr>
        <w:ind w:left="4540" w:hanging="360"/>
      </w:pPr>
    </w:lvl>
    <w:lvl w:ilvl="7" w:tplc="040E0019" w:tentative="1">
      <w:start w:val="1"/>
      <w:numFmt w:val="lowerLetter"/>
      <w:lvlText w:val="%8."/>
      <w:lvlJc w:val="left"/>
      <w:pPr>
        <w:ind w:left="5260" w:hanging="360"/>
      </w:pPr>
    </w:lvl>
    <w:lvl w:ilvl="8" w:tplc="040E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1" w15:restartNumberingAfterBreak="0">
    <w:nsid w:val="34556AA8"/>
    <w:multiLevelType w:val="hybridMultilevel"/>
    <w:tmpl w:val="18086CF8"/>
    <w:lvl w:ilvl="0" w:tplc="93629232">
      <w:start w:val="1"/>
      <w:numFmt w:val="bullet"/>
      <w:lvlText w:val="♣"/>
      <w:lvlJc w:val="left"/>
      <w:pPr>
        <w:ind w:left="425" w:hanging="425"/>
      </w:pPr>
      <w:rPr>
        <w:rFonts w:ascii="Arial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4A25"/>
    <w:multiLevelType w:val="hybridMultilevel"/>
    <w:tmpl w:val="F1144904"/>
    <w:lvl w:ilvl="0" w:tplc="9D147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1543C"/>
    <w:multiLevelType w:val="hybridMultilevel"/>
    <w:tmpl w:val="A4EA3D7C"/>
    <w:lvl w:ilvl="0" w:tplc="14F8B93C">
      <w:start w:val="1"/>
      <w:numFmt w:val="decimal"/>
      <w:pStyle w:val="TJ1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68931DA"/>
    <w:multiLevelType w:val="hybridMultilevel"/>
    <w:tmpl w:val="7936B274"/>
    <w:lvl w:ilvl="0" w:tplc="87926E56">
      <w:start w:val="1"/>
      <w:numFmt w:val="low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90670"/>
    <w:multiLevelType w:val="multilevel"/>
    <w:tmpl w:val="4768D95C"/>
    <w:lvl w:ilvl="0">
      <w:start w:val="1"/>
      <w:numFmt w:val="decimal"/>
      <w:pStyle w:val="T11FEJEZETCI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7A31B5"/>
    <w:multiLevelType w:val="hybridMultilevel"/>
    <w:tmpl w:val="28BC3652"/>
    <w:lvl w:ilvl="0" w:tplc="37E01D10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0F"/>
    <w:rsid w:val="00082F99"/>
    <w:rsid w:val="001A64CA"/>
    <w:rsid w:val="001D2A03"/>
    <w:rsid w:val="00286D27"/>
    <w:rsid w:val="00393F4F"/>
    <w:rsid w:val="003D30B1"/>
    <w:rsid w:val="00515020"/>
    <w:rsid w:val="006E479B"/>
    <w:rsid w:val="008F554A"/>
    <w:rsid w:val="00930AAA"/>
    <w:rsid w:val="009C5675"/>
    <w:rsid w:val="009E0C2E"/>
    <w:rsid w:val="00B01F6C"/>
    <w:rsid w:val="00BE050F"/>
    <w:rsid w:val="00C26A46"/>
    <w:rsid w:val="00E17FFB"/>
    <w:rsid w:val="00E72FDB"/>
    <w:rsid w:val="00F91E4B"/>
    <w:rsid w:val="00F9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8BEB1"/>
  <w15:chartTrackingRefBased/>
  <w15:docId w15:val="{2BCC6C3D-A0A6-4F47-ADAE-9F7D2BEB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93F4F"/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9C5675"/>
    <w:pPr>
      <w:spacing w:before="320"/>
      <w:outlineLvl w:val="0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00FOCIM">
    <w:name w:val="T00_FOCIM"/>
    <w:basedOn w:val="Norml"/>
    <w:link w:val="T00FOCIMChar"/>
    <w:qFormat/>
    <w:rsid w:val="009E0C2E"/>
    <w:pPr>
      <w:spacing w:after="1440" w:line="1000" w:lineRule="exact"/>
      <w:jc w:val="center"/>
    </w:pPr>
    <w:rPr>
      <w:rFonts w:ascii="Montserrat" w:hAnsi="Montserrat" w:cstheme="minorHAnsi"/>
      <w:b/>
      <w:caps/>
      <w:sz w:val="96"/>
      <w:szCs w:val="96"/>
    </w:rPr>
  </w:style>
  <w:style w:type="character" w:customStyle="1" w:styleId="T00FOCIMChar">
    <w:name w:val="T00_FOCIM Char"/>
    <w:basedOn w:val="Bekezdsalapbettpusa"/>
    <w:link w:val="T00FOCIM"/>
    <w:rsid w:val="009E0C2E"/>
    <w:rPr>
      <w:rFonts w:ascii="Montserrat" w:hAnsi="Montserrat" w:cstheme="minorHAnsi"/>
      <w:b/>
      <w:caps/>
      <w:sz w:val="96"/>
      <w:szCs w:val="96"/>
    </w:rPr>
  </w:style>
  <w:style w:type="paragraph" w:customStyle="1" w:styleId="T01NEV">
    <w:name w:val="T01_NEV"/>
    <w:basedOn w:val="T00FOCIM"/>
    <w:link w:val="T01NEVChar"/>
    <w:qFormat/>
    <w:rsid w:val="009E0C2E"/>
    <w:pPr>
      <w:spacing w:after="0" w:line="240" w:lineRule="auto"/>
    </w:pPr>
    <w:rPr>
      <w:b w:val="0"/>
      <w:sz w:val="24"/>
      <w:szCs w:val="24"/>
    </w:rPr>
  </w:style>
  <w:style w:type="character" w:customStyle="1" w:styleId="T01NEVChar">
    <w:name w:val="T01_NEV Char"/>
    <w:basedOn w:val="T00FOCIMChar"/>
    <w:link w:val="T01NEV"/>
    <w:rsid w:val="009E0C2E"/>
    <w:rPr>
      <w:rFonts w:ascii="Montserrat" w:hAnsi="Montserrat" w:cstheme="minorHAnsi"/>
      <w:b w:val="0"/>
      <w:caps/>
      <w:sz w:val="24"/>
      <w:szCs w:val="24"/>
    </w:rPr>
  </w:style>
  <w:style w:type="paragraph" w:customStyle="1" w:styleId="T02ELOFEJ">
    <w:name w:val="T02_ELOFEJ"/>
    <w:basedOn w:val="Norml"/>
    <w:link w:val="T02ELOFEJChar"/>
    <w:qFormat/>
    <w:rsid w:val="009E0C2E"/>
    <w:pPr>
      <w:pBdr>
        <w:top w:val="nil"/>
        <w:left w:val="nil"/>
        <w:bottom w:val="single" w:sz="4" w:space="7" w:color="000000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2268" w:right="2268"/>
      <w:jc w:val="center"/>
    </w:pPr>
    <w:rPr>
      <w:rFonts w:ascii="Montserrat Medium" w:eastAsia="Montserrat Medium" w:hAnsi="Montserrat Medium" w:cs="Montserrat Medium"/>
      <w:caps/>
      <w:color w:val="000000"/>
      <w:sz w:val="20"/>
      <w:szCs w:val="20"/>
    </w:rPr>
  </w:style>
  <w:style w:type="character" w:customStyle="1" w:styleId="T02ELOFEJChar">
    <w:name w:val="T02_ELOFEJ Char"/>
    <w:basedOn w:val="Bekezdsalapbettpusa"/>
    <w:link w:val="T02ELOFEJ"/>
    <w:rsid w:val="009E0C2E"/>
    <w:rPr>
      <w:rFonts w:ascii="Montserrat Medium" w:eastAsia="Montserrat Medium" w:hAnsi="Montserrat Medium" w:cs="Montserrat Medium"/>
      <w:caps/>
      <w:color w:val="000000"/>
      <w:sz w:val="20"/>
      <w:szCs w:val="20"/>
    </w:rPr>
  </w:style>
  <w:style w:type="paragraph" w:customStyle="1" w:styleId="T03ELOLAB">
    <w:name w:val="T03_ELOLAB"/>
    <w:basedOn w:val="Norml"/>
    <w:link w:val="T03ELOLABChar"/>
    <w:qFormat/>
    <w:rsid w:val="009E0C2E"/>
    <w:pPr>
      <w:tabs>
        <w:tab w:val="center" w:pos="4536"/>
        <w:tab w:val="right" w:pos="9072"/>
      </w:tabs>
      <w:spacing w:after="0" w:line="240" w:lineRule="auto"/>
      <w:jc w:val="center"/>
    </w:pPr>
    <w:rPr>
      <w:rFonts w:ascii="Montserrat Medium" w:hAnsi="Montserrat Medium"/>
      <w:sz w:val="20"/>
    </w:rPr>
  </w:style>
  <w:style w:type="character" w:customStyle="1" w:styleId="T03ELOLABChar">
    <w:name w:val="T03_ELOLAB Char"/>
    <w:basedOn w:val="Bekezdsalapbettpusa"/>
    <w:link w:val="T03ELOLAB"/>
    <w:rsid w:val="009E0C2E"/>
    <w:rPr>
      <w:rFonts w:ascii="Montserrat Medium" w:hAnsi="Montserrat Medium"/>
      <w:sz w:val="20"/>
    </w:rPr>
  </w:style>
  <w:style w:type="paragraph" w:customStyle="1" w:styleId="T10TARTALOMCIM">
    <w:name w:val="T10_TARTALOMCIM"/>
    <w:basedOn w:val="T00FOCIM"/>
    <w:link w:val="T10TARTALOMCIMChar"/>
    <w:qFormat/>
    <w:rsid w:val="009E0C2E"/>
    <w:pPr>
      <w:spacing w:after="480" w:line="240" w:lineRule="auto"/>
    </w:pPr>
    <w:rPr>
      <w:caps w:val="0"/>
      <w:sz w:val="48"/>
    </w:rPr>
  </w:style>
  <w:style w:type="character" w:customStyle="1" w:styleId="T10TARTALOMCIMChar">
    <w:name w:val="T10_TARTALOMCIM Char"/>
    <w:basedOn w:val="T00FOCIMChar"/>
    <w:link w:val="T10TARTALOMCIM"/>
    <w:rsid w:val="009E0C2E"/>
    <w:rPr>
      <w:rFonts w:ascii="Montserrat" w:hAnsi="Montserrat" w:cstheme="minorHAnsi"/>
      <w:b/>
      <w:caps w:val="0"/>
      <w:sz w:val="48"/>
      <w:szCs w:val="96"/>
    </w:rPr>
  </w:style>
  <w:style w:type="paragraph" w:customStyle="1" w:styleId="T11FEJEZETCIM">
    <w:name w:val="T11_FEJEZETCIM"/>
    <w:basedOn w:val="T10TARTALOMCIM"/>
    <w:link w:val="T11FEJEZETCIMChar"/>
    <w:qFormat/>
    <w:rsid w:val="009E0C2E"/>
    <w:pPr>
      <w:numPr>
        <w:numId w:val="4"/>
      </w:numPr>
      <w:spacing w:after="240"/>
      <w:ind w:left="714" w:hanging="357"/>
      <w:jc w:val="left"/>
    </w:pPr>
    <w:rPr>
      <w:sz w:val="28"/>
    </w:rPr>
  </w:style>
  <w:style w:type="character" w:customStyle="1" w:styleId="T11FEJEZETCIMChar">
    <w:name w:val="T11_FEJEZETCIM Char"/>
    <w:basedOn w:val="T10TARTALOMCIMChar"/>
    <w:link w:val="T11FEJEZETCIM"/>
    <w:rsid w:val="009E0C2E"/>
    <w:rPr>
      <w:rFonts w:ascii="Montserrat" w:hAnsi="Montserrat" w:cstheme="minorHAnsi"/>
      <w:b/>
      <w:caps w:val="0"/>
      <w:sz w:val="28"/>
      <w:szCs w:val="96"/>
    </w:rPr>
  </w:style>
  <w:style w:type="paragraph" w:customStyle="1" w:styleId="T12ALCIM">
    <w:name w:val="T12_ALCIM"/>
    <w:basedOn w:val="T11FEJEZETCIM"/>
    <w:link w:val="T12ALCIMChar"/>
    <w:qFormat/>
    <w:rsid w:val="009E0C2E"/>
    <w:pPr>
      <w:numPr>
        <w:numId w:val="0"/>
      </w:numPr>
      <w:tabs>
        <w:tab w:val="num" w:pos="720"/>
      </w:tabs>
      <w:spacing w:after="120"/>
      <w:ind w:left="720" w:hanging="720"/>
      <w:contextualSpacing/>
    </w:pPr>
    <w:rPr>
      <w:b w:val="0"/>
      <w:sz w:val="24"/>
    </w:rPr>
  </w:style>
  <w:style w:type="character" w:customStyle="1" w:styleId="T12ALCIMChar">
    <w:name w:val="T12_ALCIM Char"/>
    <w:basedOn w:val="T11FEJEZETCIMChar"/>
    <w:link w:val="T12ALCIM"/>
    <w:rsid w:val="009E0C2E"/>
    <w:rPr>
      <w:rFonts w:ascii="Montserrat" w:hAnsi="Montserrat" w:cstheme="minorHAnsi"/>
      <w:b w:val="0"/>
      <w:caps w:val="0"/>
      <w:sz w:val="24"/>
      <w:szCs w:val="96"/>
    </w:rPr>
  </w:style>
  <w:style w:type="paragraph" w:customStyle="1" w:styleId="T20FEJEZETCIM">
    <w:name w:val="T20_FEJEZETCIM"/>
    <w:basedOn w:val="T10TARTALOMCIM"/>
    <w:link w:val="T20FEJEZETCIMChar"/>
    <w:qFormat/>
    <w:rsid w:val="009E0C2E"/>
    <w:pPr>
      <w:spacing w:after="360"/>
    </w:pPr>
    <w:rPr>
      <w:sz w:val="44"/>
    </w:rPr>
  </w:style>
  <w:style w:type="character" w:customStyle="1" w:styleId="T20FEJEZETCIMChar">
    <w:name w:val="T20_FEJEZETCIM Char"/>
    <w:basedOn w:val="T10TARTALOMCIMChar"/>
    <w:link w:val="T20FEJEZETCIM"/>
    <w:rsid w:val="009E0C2E"/>
    <w:rPr>
      <w:rFonts w:ascii="Montserrat" w:hAnsi="Montserrat" w:cstheme="minorHAnsi"/>
      <w:b/>
      <w:caps w:val="0"/>
      <w:sz w:val="44"/>
      <w:szCs w:val="96"/>
    </w:rPr>
  </w:style>
  <w:style w:type="paragraph" w:customStyle="1" w:styleId="T21ALCIM">
    <w:name w:val="T21_ALCIM"/>
    <w:basedOn w:val="T20FEJEZETCIM"/>
    <w:link w:val="T21ALCIMChar"/>
    <w:qFormat/>
    <w:rsid w:val="009E0C2E"/>
    <w:pPr>
      <w:jc w:val="left"/>
    </w:pPr>
    <w:rPr>
      <w:sz w:val="32"/>
    </w:rPr>
  </w:style>
  <w:style w:type="character" w:customStyle="1" w:styleId="T21ALCIMChar">
    <w:name w:val="T21_ALCIM Char"/>
    <w:basedOn w:val="T20FEJEZETCIMChar"/>
    <w:link w:val="T21ALCIM"/>
    <w:rsid w:val="009E0C2E"/>
    <w:rPr>
      <w:rFonts w:ascii="Montserrat" w:hAnsi="Montserrat" w:cstheme="minorHAnsi"/>
      <w:b/>
      <w:caps w:val="0"/>
      <w:sz w:val="32"/>
      <w:szCs w:val="96"/>
    </w:rPr>
  </w:style>
  <w:style w:type="paragraph" w:customStyle="1" w:styleId="T22TARTALOM">
    <w:name w:val="T22_TARTALOM"/>
    <w:basedOn w:val="T21ALCIM"/>
    <w:link w:val="T22TARTALOMChar"/>
    <w:qFormat/>
    <w:rsid w:val="009E0C2E"/>
    <w:pPr>
      <w:tabs>
        <w:tab w:val="num" w:pos="720"/>
      </w:tabs>
      <w:spacing w:after="240"/>
      <w:ind w:left="720" w:hanging="360"/>
      <w:contextualSpacing/>
    </w:pPr>
    <w:rPr>
      <w:b w:val="0"/>
      <w:sz w:val="24"/>
    </w:rPr>
  </w:style>
  <w:style w:type="character" w:customStyle="1" w:styleId="T22TARTALOMChar">
    <w:name w:val="T22_TARTALOM Char"/>
    <w:basedOn w:val="T21ALCIMChar"/>
    <w:link w:val="T22TARTALOM"/>
    <w:rsid w:val="009E0C2E"/>
    <w:rPr>
      <w:rFonts w:ascii="Montserrat" w:hAnsi="Montserrat" w:cstheme="minorHAnsi"/>
      <w:b w:val="0"/>
      <w:caps w:val="0"/>
      <w:sz w:val="24"/>
      <w:szCs w:val="96"/>
    </w:rPr>
  </w:style>
  <w:style w:type="paragraph" w:styleId="TJ1">
    <w:name w:val="toc 1"/>
    <w:basedOn w:val="T11FEJEZETCIM"/>
    <w:next w:val="Norml"/>
    <w:autoRedefine/>
    <w:uiPriority w:val="39"/>
    <w:unhideWhenUsed/>
    <w:qFormat/>
    <w:rsid w:val="00515020"/>
    <w:pPr>
      <w:numPr>
        <w:numId w:val="7"/>
      </w:numPr>
      <w:spacing w:after="100"/>
    </w:pPr>
  </w:style>
  <w:style w:type="paragraph" w:styleId="TJ2">
    <w:name w:val="toc 2"/>
    <w:basedOn w:val="T12ALCIM"/>
    <w:next w:val="Norml"/>
    <w:autoRedefine/>
    <w:uiPriority w:val="39"/>
    <w:semiHidden/>
    <w:unhideWhenUsed/>
    <w:qFormat/>
    <w:rsid w:val="00515020"/>
    <w:pPr>
      <w:numPr>
        <w:numId w:val="8"/>
      </w:numPr>
      <w:spacing w:after="100"/>
    </w:pPr>
  </w:style>
  <w:style w:type="paragraph" w:styleId="lfej">
    <w:name w:val="header"/>
    <w:basedOn w:val="Norml"/>
    <w:link w:val="lfejChar"/>
    <w:uiPriority w:val="99"/>
    <w:unhideWhenUsed/>
    <w:rsid w:val="00393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93F4F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393F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3F4F"/>
    <w:rPr>
      <w:rFonts w:ascii="Arial" w:hAnsi="Arial"/>
    </w:rPr>
  </w:style>
  <w:style w:type="paragraph" w:styleId="Listaszerbekezds">
    <w:name w:val="List Paragraph"/>
    <w:basedOn w:val="Norml"/>
    <w:uiPriority w:val="34"/>
    <w:qFormat/>
    <w:rsid w:val="00393F4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C5675"/>
    <w:rPr>
      <w:rFonts w:ascii="Arial" w:hAnsi="Arial"/>
      <w:b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C567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C5675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C56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C32A1-2DEB-478B-B58C-23A8F375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450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Jávor Nikolett</dc:creator>
  <cp:keywords/>
  <dc:description/>
  <cp:lastModifiedBy>Jávor Nikolett</cp:lastModifiedBy>
  <cp:revision>10</cp:revision>
  <dcterms:created xsi:type="dcterms:W3CDTF">2024-09-16T09:31:00Z</dcterms:created>
  <dcterms:modified xsi:type="dcterms:W3CDTF">2024-09-23T08:52:00Z</dcterms:modified>
</cp:coreProperties>
</file>