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rFonts w:ascii="DejaVu Sans" w:hAnsi="DejaVu Sans"/>
          <w:color w:val="333333"/>
        </w:rPr>
        <w:t>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r>
        <w:rPr>
          <w:color w:val="333333"/>
        </w:rPr>
        <w:t xml:space="preserve">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rPr>
          <w:color w:val="333333"/>
        </w:rPr>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color w:val="333333"/>
        </w:rPr>
        <w:t xml:space="preserve">We can give ourselves permission to execute </w:t>
      </w:r>
      <w:r>
        <w:rPr>
          <w:i/>
          <w:color w:val="333333"/>
        </w:rPr>
        <w:t xml:space="preserve">newhackertool </w:t>
      </w:r>
      <w:r>
        <w:rPr>
          <w:color w:val="333333"/>
        </w:rPr>
        <w:t>by entering the following:</w:t>
      </w: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6"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bookmarkStart w:id="3" w:name="_GoBack"/>
      <w:bookmarkEnd w:id="3"/>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1"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8"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9"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0"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1"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0"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0"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2"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3"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4"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5"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F49C5"/>
    <w:rsid w:val="4E7F3084"/>
    <w:rsid w:val="4EF59D4C"/>
    <w:rsid w:val="4FBA8EB2"/>
    <w:rsid w:val="4FDDE3CF"/>
    <w:rsid w:val="4FEFA5C4"/>
    <w:rsid w:val="52FFAB7A"/>
    <w:rsid w:val="54F99C14"/>
    <w:rsid w:val="56B73F08"/>
    <w:rsid w:val="57FE46F0"/>
    <w:rsid w:val="59DB2552"/>
    <w:rsid w:val="5A3F20CC"/>
    <w:rsid w:val="5BBFCC2E"/>
    <w:rsid w:val="5CCD0E9F"/>
    <w:rsid w:val="5D2E28FD"/>
    <w:rsid w:val="5DA39379"/>
    <w:rsid w:val="5DC71A46"/>
    <w:rsid w:val="5DCBF4A0"/>
    <w:rsid w:val="5DDF38E9"/>
    <w:rsid w:val="5E566B76"/>
    <w:rsid w:val="5EC5D2CC"/>
    <w:rsid w:val="5F4E6097"/>
    <w:rsid w:val="5F567B00"/>
    <w:rsid w:val="5F7F8277"/>
    <w:rsid w:val="5FB73DAC"/>
    <w:rsid w:val="5FD70C9A"/>
    <w:rsid w:val="5FE7FEA6"/>
    <w:rsid w:val="5FEBCFDF"/>
    <w:rsid w:val="5FED68E4"/>
    <w:rsid w:val="5FEF2EA5"/>
    <w:rsid w:val="61E73C55"/>
    <w:rsid w:val="627EEB33"/>
    <w:rsid w:val="62EFED6E"/>
    <w:rsid w:val="63F9297F"/>
    <w:rsid w:val="673D3D77"/>
    <w:rsid w:val="67D56D32"/>
    <w:rsid w:val="67DB35AD"/>
    <w:rsid w:val="67E2A15F"/>
    <w:rsid w:val="67FA6573"/>
    <w:rsid w:val="6AC771FB"/>
    <w:rsid w:val="6AF7CA2B"/>
    <w:rsid w:val="6B3FED60"/>
    <w:rsid w:val="6C3F7901"/>
    <w:rsid w:val="6CFF8D69"/>
    <w:rsid w:val="6D6774FF"/>
    <w:rsid w:val="6DBC5B80"/>
    <w:rsid w:val="6DBF6716"/>
    <w:rsid w:val="6DFF1A99"/>
    <w:rsid w:val="6E7C4DDB"/>
    <w:rsid w:val="6EF5FF88"/>
    <w:rsid w:val="6EF6225D"/>
    <w:rsid w:val="6F330911"/>
    <w:rsid w:val="6F5F79DB"/>
    <w:rsid w:val="6F6EB92D"/>
    <w:rsid w:val="6F9466FC"/>
    <w:rsid w:val="6FDFCAB9"/>
    <w:rsid w:val="6FF814E6"/>
    <w:rsid w:val="6FFB9C1C"/>
    <w:rsid w:val="6FFBEE00"/>
    <w:rsid w:val="6FFF57B5"/>
    <w:rsid w:val="72335A76"/>
    <w:rsid w:val="73EDE7E9"/>
    <w:rsid w:val="7573D0FC"/>
    <w:rsid w:val="75CBC910"/>
    <w:rsid w:val="76239BC0"/>
    <w:rsid w:val="763FD5C8"/>
    <w:rsid w:val="765D6649"/>
    <w:rsid w:val="7679A181"/>
    <w:rsid w:val="767FDCBE"/>
    <w:rsid w:val="76FDEAF7"/>
    <w:rsid w:val="775BDD9C"/>
    <w:rsid w:val="777D6F3D"/>
    <w:rsid w:val="77BD5313"/>
    <w:rsid w:val="77CF59E6"/>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98C56"/>
    <w:rsid w:val="7BFF2B6A"/>
    <w:rsid w:val="7BFFDFEF"/>
    <w:rsid w:val="7C7BB69B"/>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C4C4"/>
    <w:rsid w:val="7FFFDA14"/>
    <w:rsid w:val="7FFFFFF1"/>
    <w:rsid w:val="8CFF95EF"/>
    <w:rsid w:val="8DF1C41A"/>
    <w:rsid w:val="8F7E94B7"/>
    <w:rsid w:val="8FF72867"/>
    <w:rsid w:val="9B97952C"/>
    <w:rsid w:val="9EAF9D08"/>
    <w:rsid w:val="9FE5AC5B"/>
    <w:rsid w:val="9FF6C145"/>
    <w:rsid w:val="A6AB8D7F"/>
    <w:rsid w:val="A6D6E6EC"/>
    <w:rsid w:val="ABDB7F9B"/>
    <w:rsid w:val="ABEF3862"/>
    <w:rsid w:val="AD736E36"/>
    <w:rsid w:val="ADAF6A19"/>
    <w:rsid w:val="ADE778DB"/>
    <w:rsid w:val="AF3B7D42"/>
    <w:rsid w:val="AFE73E8D"/>
    <w:rsid w:val="AFFD294D"/>
    <w:rsid w:val="B5F96DF4"/>
    <w:rsid w:val="B69FAA03"/>
    <w:rsid w:val="B7F91AE9"/>
    <w:rsid w:val="BA1B1F96"/>
    <w:rsid w:val="BAFB8A64"/>
    <w:rsid w:val="BB561A87"/>
    <w:rsid w:val="BB823338"/>
    <w:rsid w:val="BBBEE5FA"/>
    <w:rsid w:val="BD5FB5FC"/>
    <w:rsid w:val="BDBF962A"/>
    <w:rsid w:val="BDF3927A"/>
    <w:rsid w:val="BDF94DEB"/>
    <w:rsid w:val="BDFAE37E"/>
    <w:rsid w:val="BEF36119"/>
    <w:rsid w:val="BF3F7D62"/>
    <w:rsid w:val="BF4F781D"/>
    <w:rsid w:val="BF7EF6BC"/>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7FC4A48"/>
    <w:rsid w:val="D9DF2AA0"/>
    <w:rsid w:val="DA8F60A3"/>
    <w:rsid w:val="DAFA5E5E"/>
    <w:rsid w:val="DB6EAB14"/>
    <w:rsid w:val="DBDFC121"/>
    <w:rsid w:val="DBEE8786"/>
    <w:rsid w:val="DBF38F50"/>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37C194F"/>
    <w:rsid w:val="E3EFF76B"/>
    <w:rsid w:val="E4BFD632"/>
    <w:rsid w:val="E59AECD2"/>
    <w:rsid w:val="E6FC4603"/>
    <w:rsid w:val="E70F9015"/>
    <w:rsid w:val="E7DFAB95"/>
    <w:rsid w:val="E7FE4A1C"/>
    <w:rsid w:val="E9FD0D75"/>
    <w:rsid w:val="EB1FCFD2"/>
    <w:rsid w:val="EB5D5EA2"/>
    <w:rsid w:val="EBB7DE5A"/>
    <w:rsid w:val="EDFB5695"/>
    <w:rsid w:val="EE34F783"/>
    <w:rsid w:val="EE6BEFD8"/>
    <w:rsid w:val="EE7012F6"/>
    <w:rsid w:val="EEA71AFC"/>
    <w:rsid w:val="EEBEA75F"/>
    <w:rsid w:val="EF7C41B7"/>
    <w:rsid w:val="EF7F7127"/>
    <w:rsid w:val="EFA39DF2"/>
    <w:rsid w:val="EFBDCFE0"/>
    <w:rsid w:val="EFBEFF85"/>
    <w:rsid w:val="EFBF02A6"/>
    <w:rsid w:val="EFEBE012"/>
    <w:rsid w:val="EFEFF96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9F603D"/>
    <w:rsid w:val="F7BCAEA1"/>
    <w:rsid w:val="F7DF50F0"/>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ED8F5C"/>
    <w:rsid w:val="FBFE99E5"/>
    <w:rsid w:val="FBFF9B41"/>
    <w:rsid w:val="FC1E99C3"/>
    <w:rsid w:val="FC2725DC"/>
    <w:rsid w:val="FC77CBC4"/>
    <w:rsid w:val="FC8F84FC"/>
    <w:rsid w:val="FCB7471C"/>
    <w:rsid w:val="FD9880B8"/>
    <w:rsid w:val="FD9BAA0B"/>
    <w:rsid w:val="FDB49531"/>
    <w:rsid w:val="FDBF9870"/>
    <w:rsid w:val="FDC3E279"/>
    <w:rsid w:val="FDCFDDA6"/>
    <w:rsid w:val="FDDBAE04"/>
    <w:rsid w:val="FDDF3EBC"/>
    <w:rsid w:val="FDDFC732"/>
    <w:rsid w:val="FDF27AD6"/>
    <w:rsid w:val="FDFCB655"/>
    <w:rsid w:val="FE7E2B80"/>
    <w:rsid w:val="FEBFC276"/>
    <w:rsid w:val="FEC63175"/>
    <w:rsid w:val="FEDB87BA"/>
    <w:rsid w:val="FEED6EB4"/>
    <w:rsid w:val="FEED9DE0"/>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D5C838"/>
    <w:rsid w:val="FFDF290B"/>
    <w:rsid w:val="FFEEBA19"/>
    <w:rsid w:val="FFEF6854"/>
    <w:rsid w:val="FFF69F2B"/>
    <w:rsid w:val="FFF73426"/>
    <w:rsid w:val="FFF7DEA2"/>
    <w:rsid w:val="FFFB0A32"/>
    <w:rsid w:val="FFFBB4B1"/>
    <w:rsid w:val="FFFDE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2019-01-13T17:17:00Z</dcterms:created>
  <dc:creator>Data</dc:creator>
  <cp:lastModifiedBy>njcx</cp:lastModifiedBy>
  <dcterms:modified xsi:type="dcterms:W3CDTF">2019-03-31T18:03:45Z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