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2342"/>
          <w:sz w:val="44"/>
          <w:szCs w:val="44"/>
        </w:rPr>
        <w:t xml:space="preserve">Healthcare Patient Readmission Prediction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Project Summary  |  ReadmitGuard Analytics  |  Data Analytics Capstone 2026</w:t>
      </w: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capstone project investigates hospital readmission patterns among diabetic patients using the UCI Diabetes 130-US Hospitals dataset. The central business question: Can we predict, before discharge, which patients are at high risk of being readmitted within 30 days?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Early readmissions are costly for hospitals, insurers, and patients alike — and are often preventable with targeted post-discharge intervention. A data-driven risk-flagging system could help clinical staff prioritize follow-up care and reduce readmission rates.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Business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 diabetic patient encounters to identify the key clinical and demographic factors that predict 30-day readmission, and develop a framework for a predictive risk model that can be operationalized in a clinical dashboard.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Hospital administrators evaluating readmission reduction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Clinical informatics teams building patient risk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Healthcare payers / insurers monitoring avoidable readmissions</w:t>
      </w:r>
    </w:p>
    <w:p>
      <w:pPr>
        <w:spacing w:after="160"/>
      </w:pP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was sourced from the UCI Machine Learning Repository — the Diabetes 130-US Hospitals for Years 1999–2008 dataset, compiled from 130 US hospitals and integrated delivery networks.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101,766 encounters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Patient-level, not unique patients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50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Demographics, meds, procedures, outcomes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readmitted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/ &gt;30 / &lt;30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Hospital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130+ US hospitals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1999–2008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Data Quality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 column (96.9% missing) was excluded from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'?' placeholder values were replaced with NaN and handled appropriately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ICD-9 diagnosis codes were mapped to human-readable disease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patient encounters were identified and removed</w:t>
      </w:r>
    </w:p>
    <w:p>
      <w:pPr>
        <w:spacing w:after="160"/>
      </w:pP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Exploratory Data Analysis — Key Findings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Finding 1: Readmission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variable shows a class imbalance: 53.9% of patients were not readmitted, 34.9% were readmitted after 30 days, and 11.2% — the high-risk group — were readmitted within 30 days. This imbalance will need to be addressed in modeling (e.g., via SMOTE or class weighting).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Finding 2: Demographics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largest age group is 60–80 (48.7% of patients), consistent with a chronic disease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Caucasians make up ~75% of the dataset; African Americans ~19%. Potential demographic bias should be flagged in model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Slight female majority: 54,708 female vs. 47,055 male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Finding 3: Medications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Insulin is the most prescribed medication (53.6% of encounters), followed by Metformin (30.2%)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46.2% of patients experienced a medication change during their hospital stay — this group showed elevated early readmission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High-risk patients (readmitted &lt;30 days) tend to be on significantly more medications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Finding 4: Correlations &amp; Predictors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Correlation analysis revealed the following features as the strongest predictors of 30-day readmission: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number_inpatient — strongest predictor; prior hospitalizations are highly predictive of future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num_medications — more complex regimens correlate with higher readmission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num_lab_procedures — intensive diagnostic workups indicate sicker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time_in_hospital — longer stays weakly but consistently associate with early readmission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number_diagnoses — patients with more comorbidities are at elevated risk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Finding 5: Outliers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number_outpatient, number_emergency, and number_inpatient all contain significant right-skewed outliers. These represent genuine extreme cases (e.g., frequent flier patients) and should be retained but potentially capped during feature engineering for modeling.</w:t>
      </w:r>
    </w:p>
    <w:p>
      <w:pPr>
        <w:spacing w:after="160"/>
      </w:pP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Hypothesis</w:t>
      </w:r>
    </w:p>
    <w:p>
      <w:pPr>
        <w:pBdr>
          <w:left w:val="single" w:color="0D9488" w:sz="12" w:space="8"/>
        </w:pBdr>
        <w:spacing w:after="160"/>
        <w:ind w:left="720" w:right="72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Patients with higher numbers of prior inpatient visits, more medications, more lab procedures, and longer hospital stays are significantly more likely to be readmitted within 30 days.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hypothesis will be tested using a binary classification model (readmitted within 30 days = 1, otherwise = 0), with performance evaluated using AUC-ROC, precision, and recall — prioritizing recall to minimize missed high-risk cases.</w:t>
      </w:r>
    </w:p>
    <w:p>
      <w:pPr>
        <w:spacing w:after="160"/>
      </w:pP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Recommendations &amp; Next Steps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Re-encode target: readmitted &lt;30 = 1 (high risk), all others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SMOTE or class weighting to address 11.2% minority 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 Logistic Regression, Random Forest, and XGBoost; optimize for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feature importance analysis to validate EDA findings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Tableau dashboard showing readmission risk by patient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views: readmission rate by age/medication count, high-risk patient profiles, feature importance visualization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Clinical Deployment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patients with number_inpatient &gt; 2 and num_medications &gt; 15 for automatic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medication change flag as a real-time risk signal at discharge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Acknowledge demographic composition of training data when generalizing predictions</w:t>
      </w:r>
    </w:p>
    <w:p>
      <w:pPr>
        <w:spacing w:after="160"/>
      </w:pPr>
    </w:p>
    <w:p>
      <w:pPr>
        <w:pBdr>
          <w:bottom w:val="single" w:color="0D948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EDA &amp; data wrangling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Pandas, NumPy, Seaborn, Matplotlib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 modeling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Querying &amp; aggregation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Dashboard &amp;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Final deliverable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Capstone final presentation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Code repository</w:t>
            </w:r>
          </w:p>
        </w:tc>
      </w:tr>
    </w:tbl>
    <w:p>
      <w:pPr>
        <w:spacing w:after="360"/>
      </w:pPr>
    </w:p>
    <w:p>
      <w:pPr>
        <w:spacing w:before="2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ReadmitGuard Analytics  |  Data Analytics Capstone  | 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Data Analytics Capstone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Healthcare Patient Readmission Prediction  |  ReadmitGuard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2026-05-26T18:06:51.506Z</dcterms:created>
  <dcterms:modified xsi:type="dcterms:W3CDTF">2026-05-26T18:06:51.506Z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