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FD" w:rsidRDefault="00464AF7"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>BUSINESS CASE: ISO/IEC 27001:2022 CERTIFICATION</w:t>
      </w:r>
    </w:p>
    <w:p w:rsidR="000F09FD" w:rsidRDefault="00464AF7">
      <w:pPr>
        <w:pBdr>
          <w:bottom w:val="single" w:sz="14" w:space="4" w:color="1F3864"/>
        </w:pBdr>
        <w:spacing w:after="40"/>
        <w:jc w:val="center"/>
      </w:pPr>
      <w:r>
        <w:rPr>
          <w:i/>
          <w:iCs/>
          <w:color w:val="595959"/>
          <w:sz w:val="16"/>
          <w:szCs w:val="16"/>
        </w:rPr>
        <w:t xml:space="preserve">Tumaini Capital </w:t>
      </w:r>
      <w:proofErr w:type="gramStart"/>
      <w:r>
        <w:rPr>
          <w:i/>
          <w:iCs/>
          <w:color w:val="595959"/>
          <w:sz w:val="16"/>
          <w:szCs w:val="16"/>
        </w:rPr>
        <w:t>Ltd  |</w:t>
      </w:r>
      <w:proofErr w:type="gramEnd"/>
      <w:r>
        <w:rPr>
          <w:i/>
          <w:iCs/>
          <w:color w:val="595959"/>
          <w:sz w:val="16"/>
          <w:szCs w:val="16"/>
        </w:rPr>
        <w:t xml:space="preserve">  Prepared by: Head of Risk &amp; Compliance  |  June 2026  |  For: CEO &amp; Executive Committee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rPr>
          <w:b/>
          <w:bCs/>
          <w:color w:val="1F3864"/>
          <w:sz w:val="19"/>
          <w:szCs w:val="19"/>
        </w:rPr>
      </w:pPr>
      <w:r w:rsidRPr="001669A2">
        <w:rPr>
          <w:b/>
          <w:bCs/>
          <w:color w:val="1F3864"/>
          <w:sz w:val="19"/>
          <w:szCs w:val="19"/>
        </w:rPr>
        <w:t>Company: Tumaini Capital Ltd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jc w:val="both"/>
        <w:rPr>
          <w:bCs/>
          <w:color w:val="auto"/>
          <w:sz w:val="19"/>
          <w:szCs w:val="19"/>
        </w:rPr>
      </w:pPr>
      <w:r>
        <w:rPr>
          <w:b/>
          <w:bCs/>
          <w:noProof/>
          <w:color w:val="1F3864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11430</wp:posOffset>
                </wp:positionV>
                <wp:extent cx="6858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7450D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5505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.9pt" to="540.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" strokecolor="#97450d" strokeweight=".5pt">
                <v:stroke joinstyle="miter"/>
              </v:line>
            </w:pict>
          </mc:Fallback>
        </mc:AlternateContent>
      </w:r>
      <w:r w:rsidRPr="001669A2">
        <w:rPr>
          <w:bCs/>
          <w:color w:val="auto"/>
          <w:sz w:val="19"/>
          <w:szCs w:val="19"/>
        </w:rPr>
        <w:t>Tumaini Capital is a digital lending and microfinance company headquartered in Nairobi's Upper Hill, with a satellite office in Kisumu. Founded in 2019, the company has grown to 85 employees and serves roughly 120,000 active borrowers across Kenya through a mobile app and a USSD channel. Its core product is short-term digital loans disbursed and repaid via M-Pesa, alongside a newer SME lending product that requires more extensive KYC documentation, including national ID copies, payslips, and bank statements.</w:t>
      </w:r>
    </w:p>
    <w:p w:rsidR="001669A2" w:rsidRPr="001669A2" w:rsidRDefault="001669A2" w:rsidP="001669A2">
      <w:pPr>
        <w:pBdr>
          <w:bottom w:val="single" w:sz="6" w:space="2" w:color="B8923A"/>
        </w:pBdr>
        <w:spacing w:before="160" w:after="60"/>
        <w:jc w:val="both"/>
        <w:rPr>
          <w:bCs/>
          <w:color w:val="auto"/>
          <w:sz w:val="19"/>
          <w:szCs w:val="19"/>
        </w:rPr>
      </w:pPr>
      <w:r w:rsidRPr="001669A2">
        <w:rPr>
          <w:bCs/>
          <w:color w:val="auto"/>
          <w:sz w:val="19"/>
          <w:szCs w:val="19"/>
        </w:rPr>
        <w:t>The company's technology stack includes a core lending platform hosted on AWS (Nairobi customers served from the eu-west-1 region), a customer relationship management system, an internal HR and payroll system, and integrations with Safaricom's M-Pesa API and two credit reference bureaus. Staff use a mix of company-issued laptops and BYOD phones, and most departments rely heavily on email, WhatsApp Business, and shared Google Workspace drives for day-to-day collaboration.</w:t>
      </w:r>
    </w:p>
    <w:p w:rsidR="001669A2" w:rsidRDefault="001669A2">
      <w:pPr>
        <w:pBdr>
          <w:bottom w:val="single" w:sz="6" w:space="2" w:color="B8923A"/>
        </w:pBdr>
        <w:spacing w:before="160" w:after="60"/>
        <w:rPr>
          <w:b/>
          <w:bCs/>
          <w:color w:val="1F3864"/>
          <w:sz w:val="19"/>
          <w:szCs w:val="19"/>
        </w:rPr>
      </w:pP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1. PURPOSE — WHY NOW</w:t>
      </w:r>
    </w:p>
    <w:p w:rsidR="000F09FD" w:rsidRDefault="00464AF7">
      <w:pPr>
        <w:spacing w:after="80"/>
      </w:pPr>
      <w:r>
        <w:t xml:space="preserve">Three pressures have converged: a regional bank white-label partnership is stalled pending evidence of a certified ISMS; the Office of the Data Protection Commissioner (ODPC) is increasing enforcement under the Data Protection Act, 2019, against a backdrop of significant KYC and financial data processing; and an unresolved offboarding control gap recently allowed an ex-employee's CRM access to remain active, resulting in unauthorized data export. 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2. KEY BENEFITS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Unlocks the regional bank partnership — a revenue-generating opportunity currently blocked by procurement and risk due diligence requirements.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Strengthens regulatory standing ahead of anticipated ODPC audits of digital lenders.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Formalizes access control and offboarding processes, directly closing the gap exposed by the CRM incident.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Provides credible, auditable evidence for future enterprise partners, investors, and regulators.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3. FINANCIAL CONSIDERATIONS</w:t>
      </w:r>
    </w:p>
    <w:tbl>
      <w:tblPr>
        <w:tblStyle w:val="GridTable4-Accent2"/>
        <w:tblW w:w="9199" w:type="dxa"/>
        <w:tblLook w:val="04A0" w:firstRow="1" w:lastRow="0" w:firstColumn="1" w:lastColumn="0" w:noHBand="0" w:noVBand="1"/>
      </w:tblPr>
      <w:tblGrid>
        <w:gridCol w:w="5814"/>
        <w:gridCol w:w="3385"/>
      </w:tblGrid>
      <w:tr w:rsidR="000F09FD" w:rsidTr="0016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color w:val="1F3864"/>
                <w:sz w:val="17"/>
                <w:szCs w:val="17"/>
              </w:rPr>
              <w:t>Cost category</w:t>
            </w:r>
          </w:p>
        </w:tc>
        <w:tc>
          <w:tcPr>
            <w:tcW w:w="3385" w:type="dxa"/>
          </w:tcPr>
          <w:p w:rsidR="000F09FD" w:rsidRDefault="00464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3864"/>
                <w:sz w:val="17"/>
                <w:szCs w:val="17"/>
              </w:rPr>
              <w:t>Estimated range (KES)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Certification body audit fees (Stage 1 &amp; 2)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600,000 – 1,200,000</w:t>
            </w:r>
          </w:p>
        </w:tc>
      </w:tr>
      <w:tr w:rsidR="000F09FD" w:rsidTr="001669A2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External lead implementer / consultant support</w:t>
            </w:r>
          </w:p>
        </w:tc>
        <w:tc>
          <w:tcPr>
            <w:tcW w:w="3385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800,000 – 1,800,000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 xml:space="preserve">Tooling (GRC platform, vuln. scanning, log </w:t>
            </w:r>
            <w:r w:rsidR="001669A2">
              <w:rPr>
                <w:b w:val="0"/>
                <w:bCs w:val="0"/>
                <w:sz w:val="17"/>
                <w:szCs w:val="17"/>
              </w:rPr>
              <w:t>mgmt.</w:t>
            </w:r>
            <w:r>
              <w:rPr>
                <w:b w:val="0"/>
                <w:bCs w:val="0"/>
                <w:sz w:val="17"/>
                <w:szCs w:val="17"/>
              </w:rPr>
              <w:t>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300,000 – 700,000</w:t>
            </w:r>
          </w:p>
        </w:tc>
      </w:tr>
      <w:tr w:rsidR="000F09FD" w:rsidTr="001669A2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Internal staff time (ISMS Lead, Engineering, Ops)</w:t>
            </w:r>
          </w:p>
        </w:tc>
        <w:tc>
          <w:tcPr>
            <w:tcW w:w="3385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Largest cost — reallocated time, not new headcount</w:t>
            </w:r>
          </w:p>
        </w:tc>
      </w:tr>
      <w:tr w:rsidR="000F09FD" w:rsidTr="0016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4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Remediation of gaps (gap analysis dependent)</w:t>
            </w:r>
          </w:p>
        </w:tc>
        <w:tc>
          <w:tcPr>
            <w:tcW w:w="3385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To be confirmed after gap analysis</w:t>
            </w:r>
          </w:p>
        </w:tc>
      </w:tr>
    </w:tbl>
    <w:p w:rsidR="000F09FD" w:rsidRDefault="00464AF7">
      <w:pPr>
        <w:spacing w:after="40"/>
      </w:pPr>
      <w:r>
        <w:t>Indicative total direct cost (excl. internal staff time): approx. KES 1.7M – 3.7M. Figures will be refined once the gap analysis is complete.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4. RISK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Risk of inaction: continued loss of the bank partnership revenue, exposure to ODPC enforcement/fines, recurrence of unauthorized access incidents, and reputational damage.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Risk of under-resourcing: the 12-month timeline assumes the ISMS Lead and relevant Engineering staff are freed from competing priorities; without this, both timeline and audit readiness will slip.</w:t>
      </w:r>
    </w:p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5. ESTIMATED TIMELINE (≈10–12 MONTHS)</w:t>
      </w:r>
    </w:p>
    <w:tbl>
      <w:tblPr>
        <w:tblStyle w:val="GridTable4-Accent2"/>
        <w:tblW w:w="9179" w:type="dxa"/>
        <w:tblLook w:val="04A0" w:firstRow="1" w:lastRow="0" w:firstColumn="1" w:lastColumn="0" w:noHBand="0" w:noVBand="1"/>
      </w:tblPr>
      <w:tblGrid>
        <w:gridCol w:w="5802"/>
        <w:gridCol w:w="3377"/>
      </w:tblGrid>
      <w:tr w:rsidR="000F09FD" w:rsidTr="00AD2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color w:val="1F3864"/>
                <w:sz w:val="17"/>
                <w:szCs w:val="17"/>
              </w:rPr>
              <w:t>Phase</w:t>
            </w:r>
          </w:p>
        </w:tc>
        <w:tc>
          <w:tcPr>
            <w:tcW w:w="3377" w:type="dxa"/>
          </w:tcPr>
          <w:p w:rsidR="000F09FD" w:rsidRDefault="00464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3864"/>
                <w:sz w:val="17"/>
                <w:szCs w:val="17"/>
              </w:rPr>
              <w:t>Duration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Gap analysis &amp; scope definition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Risk assessment &amp; treatment planning</w:t>
            </w:r>
          </w:p>
        </w:tc>
        <w:tc>
          <w:tcPr>
            <w:tcW w:w="3377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Control implementation &amp; policy rollout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4–5 months</w:t>
            </w:r>
          </w:p>
        </w:tc>
      </w:tr>
      <w:tr w:rsidR="000F09FD" w:rsidTr="00AD29FF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Internal audit &amp; management review</w:t>
            </w:r>
          </w:p>
        </w:tc>
        <w:tc>
          <w:tcPr>
            <w:tcW w:w="3377" w:type="dxa"/>
          </w:tcPr>
          <w:p w:rsidR="000F09FD" w:rsidRDefault="00464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4–6 weeks</w:t>
            </w:r>
          </w:p>
        </w:tc>
      </w:tr>
      <w:tr w:rsidR="000F09FD" w:rsidTr="00AD2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2" w:type="dxa"/>
          </w:tcPr>
          <w:p w:rsidR="000F09FD" w:rsidRDefault="00464AF7">
            <w:r>
              <w:rPr>
                <w:b w:val="0"/>
                <w:bCs w:val="0"/>
                <w:sz w:val="17"/>
                <w:szCs w:val="17"/>
              </w:rPr>
              <w:t>Stage 1 &amp; Stage 2 certification audits</w:t>
            </w:r>
          </w:p>
        </w:tc>
        <w:tc>
          <w:tcPr>
            <w:tcW w:w="3377" w:type="dxa"/>
          </w:tcPr>
          <w:p w:rsidR="000F09FD" w:rsidRDefault="00464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4–8 weeks</w:t>
            </w:r>
          </w:p>
        </w:tc>
      </w:tr>
    </w:tbl>
    <w:p w:rsidR="000F09FD" w:rsidRDefault="00464AF7">
      <w:pPr>
        <w:pBdr>
          <w:bottom w:val="single" w:sz="6" w:space="2" w:color="B8923A"/>
        </w:pBdr>
        <w:spacing w:before="160" w:after="60"/>
      </w:pPr>
      <w:r>
        <w:rPr>
          <w:b/>
          <w:bCs/>
          <w:color w:val="1F3864"/>
          <w:sz w:val="19"/>
          <w:szCs w:val="19"/>
        </w:rPr>
        <w:t>6. RECOMMENDATION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Approve pursuit of ISO/IEC 27001:2022 certification with a 12-month target.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Formally appoint the Head of Risk &amp; Compliance as ISMS Lead, with cross-departmental authority.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Approve indicative budget above and confirm allocation of staff time for the project duration.</w:t>
      </w:r>
    </w:p>
    <w:p w:rsidR="000F09FD" w:rsidRDefault="00464AF7">
      <w:pPr>
        <w:pStyle w:val="ListParagraph"/>
        <w:numPr>
          <w:ilvl w:val="0"/>
          <w:numId w:val="2"/>
        </w:numPr>
        <w:spacing w:after="30"/>
      </w:pPr>
      <w:r>
        <w:t>Authorize the next step: a formal gap analysis to confirm scope and refine cost/timeline estimates.</w:t>
      </w: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464AF7" w:rsidRDefault="00464AF7" w:rsidP="00464AF7">
      <w:pPr>
        <w:spacing w:after="30"/>
      </w:pPr>
    </w:p>
    <w:p w:rsidR="00E3525F" w:rsidRDefault="00E3525F" w:rsidP="00E3525F">
      <w:pPr>
        <w:spacing w:after="30"/>
      </w:pPr>
      <w:bookmarkStart w:id="0" w:name="_GoBack"/>
      <w:bookmarkEnd w:id="0"/>
    </w:p>
    <w:p w:rsidR="00E3525F" w:rsidRDefault="00E3525F" w:rsidP="00E3525F">
      <w:pPr>
        <w:spacing w:after="30"/>
      </w:pPr>
    </w:p>
    <w:p w:rsidR="00E3525F" w:rsidRDefault="00E3525F" w:rsidP="00E3525F">
      <w:pPr>
        <w:spacing w:after="30"/>
      </w:pPr>
    </w:p>
    <w:p w:rsidR="00E3525F" w:rsidRDefault="00464AF7" w:rsidP="00E3525F">
      <w:pPr>
        <w:spacing w:after="30"/>
      </w:pPr>
      <w:r>
        <w:rPr>
          <w:noProof/>
        </w:rPr>
        <w:drawing>
          <wp:inline distT="0" distB="0" distL="0" distR="0" wp14:anchorId="5E3B8595" wp14:editId="38A98B04">
            <wp:extent cx="6883400" cy="4211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25F">
      <w:pgSz w:w="12240" w:h="15840"/>
      <w:pgMar w:top="62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266FD"/>
    <w:multiLevelType w:val="hybridMultilevel"/>
    <w:tmpl w:val="868084D0"/>
    <w:lvl w:ilvl="0" w:tplc="AEFEDE66">
      <w:start w:val="1"/>
      <w:numFmt w:val="bullet"/>
      <w:lvlText w:val="●"/>
      <w:lvlJc w:val="left"/>
      <w:pPr>
        <w:ind w:left="720" w:hanging="360"/>
      </w:pPr>
    </w:lvl>
    <w:lvl w:ilvl="1" w:tplc="720C982E">
      <w:start w:val="1"/>
      <w:numFmt w:val="bullet"/>
      <w:lvlText w:val="○"/>
      <w:lvlJc w:val="left"/>
      <w:pPr>
        <w:ind w:left="1440" w:hanging="360"/>
      </w:pPr>
    </w:lvl>
    <w:lvl w:ilvl="2" w:tplc="8CFE7962">
      <w:start w:val="1"/>
      <w:numFmt w:val="bullet"/>
      <w:lvlText w:val="■"/>
      <w:lvlJc w:val="left"/>
      <w:pPr>
        <w:ind w:left="2160" w:hanging="360"/>
      </w:pPr>
    </w:lvl>
    <w:lvl w:ilvl="3" w:tplc="3DEC1A82">
      <w:start w:val="1"/>
      <w:numFmt w:val="bullet"/>
      <w:lvlText w:val="●"/>
      <w:lvlJc w:val="left"/>
      <w:pPr>
        <w:ind w:left="2880" w:hanging="360"/>
      </w:pPr>
    </w:lvl>
    <w:lvl w:ilvl="4" w:tplc="35C06454">
      <w:start w:val="1"/>
      <w:numFmt w:val="bullet"/>
      <w:lvlText w:val="○"/>
      <w:lvlJc w:val="left"/>
      <w:pPr>
        <w:ind w:left="3600" w:hanging="360"/>
      </w:pPr>
    </w:lvl>
    <w:lvl w:ilvl="5" w:tplc="435A6042">
      <w:start w:val="1"/>
      <w:numFmt w:val="bullet"/>
      <w:lvlText w:val="■"/>
      <w:lvlJc w:val="left"/>
      <w:pPr>
        <w:ind w:left="4320" w:hanging="360"/>
      </w:pPr>
    </w:lvl>
    <w:lvl w:ilvl="6" w:tplc="5B52F550">
      <w:start w:val="1"/>
      <w:numFmt w:val="bullet"/>
      <w:lvlText w:val="●"/>
      <w:lvlJc w:val="left"/>
      <w:pPr>
        <w:ind w:left="5040" w:hanging="360"/>
      </w:pPr>
    </w:lvl>
    <w:lvl w:ilvl="7" w:tplc="7E949484">
      <w:start w:val="1"/>
      <w:numFmt w:val="bullet"/>
      <w:lvlText w:val="●"/>
      <w:lvlJc w:val="left"/>
      <w:pPr>
        <w:ind w:left="5760" w:hanging="360"/>
      </w:pPr>
    </w:lvl>
    <w:lvl w:ilvl="8" w:tplc="0D7EE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C07CBB"/>
    <w:multiLevelType w:val="hybridMultilevel"/>
    <w:tmpl w:val="DF929FC6"/>
    <w:lvl w:ilvl="0" w:tplc="170EEF16">
      <w:start w:val="1"/>
      <w:numFmt w:val="bullet"/>
      <w:lvlText w:val="•"/>
      <w:lvlJc w:val="left"/>
      <w:pPr>
        <w:ind w:left="280" w:hanging="200"/>
      </w:pPr>
    </w:lvl>
    <w:lvl w:ilvl="1" w:tplc="D48800A6">
      <w:numFmt w:val="decimal"/>
      <w:lvlText w:val=""/>
      <w:lvlJc w:val="left"/>
    </w:lvl>
    <w:lvl w:ilvl="2" w:tplc="221844CA">
      <w:numFmt w:val="decimal"/>
      <w:lvlText w:val=""/>
      <w:lvlJc w:val="left"/>
    </w:lvl>
    <w:lvl w:ilvl="3" w:tplc="442CB334">
      <w:numFmt w:val="decimal"/>
      <w:lvlText w:val=""/>
      <w:lvlJc w:val="left"/>
    </w:lvl>
    <w:lvl w:ilvl="4" w:tplc="796C9BD2">
      <w:numFmt w:val="decimal"/>
      <w:lvlText w:val=""/>
      <w:lvlJc w:val="left"/>
    </w:lvl>
    <w:lvl w:ilvl="5" w:tplc="304EA6F6">
      <w:numFmt w:val="decimal"/>
      <w:lvlText w:val=""/>
      <w:lvlJc w:val="left"/>
    </w:lvl>
    <w:lvl w:ilvl="6" w:tplc="D3C47C34">
      <w:numFmt w:val="decimal"/>
      <w:lvlText w:val=""/>
      <w:lvlJc w:val="left"/>
    </w:lvl>
    <w:lvl w:ilvl="7" w:tplc="3C169BC8">
      <w:numFmt w:val="decimal"/>
      <w:lvlText w:val=""/>
      <w:lvlJc w:val="left"/>
    </w:lvl>
    <w:lvl w:ilvl="8" w:tplc="CF7C79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FD"/>
    <w:rsid w:val="00046482"/>
    <w:rsid w:val="000F09FD"/>
    <w:rsid w:val="001669A2"/>
    <w:rsid w:val="00464AF7"/>
    <w:rsid w:val="008F281C"/>
    <w:rsid w:val="00AD29FF"/>
    <w:rsid w:val="00E3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89A02-826E-41AE-A34B-DEC0E48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669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1669A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Winnie N Kibebe</cp:lastModifiedBy>
  <cp:revision>2</cp:revision>
  <dcterms:created xsi:type="dcterms:W3CDTF">2026-07-01T12:06:00Z</dcterms:created>
  <dcterms:modified xsi:type="dcterms:W3CDTF">2026-07-01T12:06:00Z</dcterms:modified>
</cp:coreProperties>
</file>