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613" w:rsidRDefault="00F1088C">
      <w:pPr>
        <w:spacing w:after="20"/>
        <w:jc w:val="center"/>
      </w:pPr>
      <w:bookmarkStart w:id="0" w:name="_GoBack"/>
      <w:bookmarkEnd w:id="0"/>
      <w:r>
        <w:rPr>
          <w:b/>
          <w:bCs/>
          <w:color w:val="1F3864"/>
          <w:sz w:val="32"/>
          <w:szCs w:val="32"/>
        </w:rPr>
        <w:t>SCOPE DECISION LOG</w:t>
      </w:r>
    </w:p>
    <w:p w:rsidR="00CF7613" w:rsidRDefault="00F1088C">
      <w:pPr>
        <w:spacing w:after="60"/>
        <w:jc w:val="center"/>
      </w:pPr>
      <w:r>
        <w:rPr>
          <w:i/>
          <w:iCs/>
          <w:color w:val="595959"/>
          <w:sz w:val="16"/>
          <w:szCs w:val="16"/>
        </w:rPr>
        <w:t xml:space="preserve">Tumaini Capital </w:t>
      </w:r>
      <w:proofErr w:type="gramStart"/>
      <w:r>
        <w:rPr>
          <w:i/>
          <w:iCs/>
          <w:color w:val="595959"/>
          <w:sz w:val="16"/>
          <w:szCs w:val="16"/>
        </w:rPr>
        <w:t>Ltd  |</w:t>
      </w:r>
      <w:proofErr w:type="gramEnd"/>
      <w:r>
        <w:rPr>
          <w:i/>
          <w:iCs/>
          <w:color w:val="595959"/>
          <w:sz w:val="16"/>
          <w:szCs w:val="16"/>
        </w:rPr>
        <w:t xml:space="preserve">  ISO/IEC 27001:2022 ISMS  |  Clause 4.3 — Determining the Scope of the ISMS  |  Fictional case study</w:t>
      </w:r>
    </w:p>
    <w:p w:rsidR="00CF7613" w:rsidRDefault="00CF7613">
      <w:pPr>
        <w:pBdr>
          <w:bottom w:val="single" w:sz="4" w:space="1" w:color="1F3864"/>
        </w:pBdr>
        <w:spacing w:after="40"/>
      </w:pPr>
    </w:p>
    <w:p w:rsidR="00CF7613" w:rsidRDefault="00CF7613">
      <w:pPr>
        <w:pBdr>
          <w:bottom w:val="single" w:sz="4" w:space="1" w:color="1F3864"/>
        </w:pBdr>
        <w:spacing w:after="220"/>
      </w:pP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100"/>
        <w:gridCol w:w="1700"/>
        <w:gridCol w:w="6840"/>
      </w:tblGrid>
      <w:tr w:rsidR="00CF76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Boundary Question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Options Considered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892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F7613" w:rsidRDefault="00F1088C"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CF761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Should the Kisumu office fall inside the ISMS boundary?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— staff access in-scope systems remotely</w:t>
            </w:r>
          </w:p>
          <w:p w:rsidR="00CF7613" w:rsidRDefault="00F1088C">
            <w:r>
              <w:rPr>
                <w:sz w:val="16"/>
                <w:szCs w:val="16"/>
              </w:rPr>
              <w:t>(b) Exclude — treat as a non-critical satellite office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Include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Kisumu staff have remote access to the CRM and core lending platform. Excluding a lo</w:t>
            </w:r>
            <w:r>
              <w:rPr>
                <w:sz w:val="16"/>
                <w:szCs w:val="16"/>
              </w:rPr>
              <w:t>cation with access to in-scope systems would leave an unmanaged interface in the risk landscape and invite challenge from a certification auditor.</w:t>
            </w:r>
          </w:p>
        </w:tc>
      </w:tr>
      <w:tr w:rsidR="00CF761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Should the HR/Payroll system fall inside the ISMS boundary?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now</w:t>
            </w:r>
          </w:p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(b) Exclude for this cycle, revisit later</w:t>
            </w:r>
          </w:p>
          <w:p w:rsidR="00CF7613" w:rsidRDefault="00F1088C">
            <w:r>
              <w:rPr>
                <w:sz w:val="16"/>
                <w:szCs w:val="16"/>
              </w:rPr>
              <w:t>(c) Exclude permanently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Exclude for this cycle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None of the three certification drivers (bank due-diligence requirement, ODPC enforcement focus, CRM access incident) relate to employee data. Including it would add a</w:t>
            </w:r>
            <w:r>
              <w:rPr>
                <w:sz w:val="16"/>
                <w:szCs w:val="16"/>
              </w:rPr>
              <w:t>udit and control overhead without addressing the actual risk drivers within a 12-month timeline. Employee data remains protected under baseline company policy and the Data Protection Act, 2019, and HR/Payroll will be considered for inclusion in a future IS</w:t>
            </w:r>
            <w:r>
              <w:rPr>
                <w:sz w:val="16"/>
                <w:szCs w:val="16"/>
              </w:rPr>
              <w:t>MS review cycle.</w:t>
            </w:r>
          </w:p>
        </w:tc>
      </w:tr>
      <w:tr w:rsidR="00CF761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How should BYOD phones be treated in scope?</w:t>
            </w:r>
          </w:p>
        </w:tc>
        <w:tc>
          <w:tcPr>
            <w:tcW w:w="3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(a) Include the devices themselves</w:t>
            </w:r>
          </w:p>
          <w:p w:rsidR="00CF7613" w:rsidRDefault="00F1088C">
            <w:pPr>
              <w:spacing w:after="40"/>
            </w:pPr>
            <w:r>
              <w:rPr>
                <w:sz w:val="16"/>
                <w:szCs w:val="16"/>
              </w:rPr>
              <w:t>(b) Include only information accessed via BYOD, governed by policy</w:t>
            </w:r>
          </w:p>
          <w:p w:rsidR="00CF7613" w:rsidRDefault="00F1088C">
            <w:r>
              <w:rPr>
                <w:sz w:val="16"/>
                <w:szCs w:val="16"/>
              </w:rPr>
              <w:t>(c) Exclude BYOD entirely</w:t>
            </w:r>
          </w:p>
        </w:tc>
        <w:tc>
          <w:tcPr>
            <w:tcW w:w="1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b/>
                <w:bCs/>
                <w:sz w:val="16"/>
                <w:szCs w:val="16"/>
              </w:rPr>
              <w:t>Policy-based inclusion (b)</w:t>
            </w:r>
          </w:p>
        </w:tc>
        <w:tc>
          <w:tcPr>
            <w:tcW w:w="68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F7613" w:rsidRDefault="00F1088C">
            <w:r>
              <w:rPr>
                <w:sz w:val="16"/>
                <w:szCs w:val="16"/>
              </w:rPr>
              <w:t>The organization does not own or have technical authority over personal devices, so it cannot credibly certify device-level controls (patch levels, encryption, OS hardening). The actual risk is the organizational information flowing onto those devices. Sco</w:t>
            </w:r>
            <w:r>
              <w:rPr>
                <w:sz w:val="16"/>
                <w:szCs w:val="16"/>
              </w:rPr>
              <w:t>ping in the information — governed by an Acceptable Use/BYOD policy, conditional access, and remote-wipe of the corporate data container — while scoping out the hardware keeps the boundary honest and auditable.</w:t>
            </w:r>
          </w:p>
        </w:tc>
      </w:tr>
    </w:tbl>
    <w:p w:rsidR="00CF7613" w:rsidRDefault="00F1088C">
      <w:pPr>
        <w:pBdr>
          <w:bottom w:val="single" w:sz="6" w:space="2" w:color="B8923A"/>
        </w:pBdr>
        <w:spacing w:before="220" w:after="90"/>
      </w:pPr>
      <w:r>
        <w:rPr>
          <w:b/>
          <w:bCs/>
          <w:color w:val="1F3864"/>
          <w:sz w:val="21"/>
          <w:szCs w:val="21"/>
        </w:rPr>
        <w:t>METHODOLOGY</w:t>
      </w:r>
    </w:p>
    <w:p w:rsidR="00CF7613" w:rsidRDefault="00F1088C">
      <w:pPr>
        <w:spacing w:after="100"/>
      </w:pPr>
      <w:r>
        <w:t>Scope was determined per Clause 4.3 of ISO/IEC 27001:2022, informed by: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>Clause 4.1 — External and internal issues (e.g. the ODPC enforcement climate, the stalled bank partnership, the CRM access incident)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>Clause 4.2 — Requirements of interested parties (e.</w:t>
      </w:r>
      <w:r>
        <w:t>g. the banking partner's due-diligence requirements, the ODPC, borrowers/customers)</w:t>
      </w:r>
    </w:p>
    <w:p w:rsidR="00CF7613" w:rsidRDefault="00F1088C">
      <w:pPr>
        <w:pStyle w:val="ListParagraph"/>
        <w:numPr>
          <w:ilvl w:val="0"/>
          <w:numId w:val="2"/>
        </w:numPr>
        <w:spacing w:after="50"/>
      </w:pPr>
      <w:r>
        <w:t xml:space="preserve">Interfaces and dependencies between Tumaini Capital's activities and those of external parties (AWS, the Safaricom M-Pesa API, the credit reference bureaus, the outsourced </w:t>
      </w:r>
      <w:r>
        <w:t>IT managed service provider)</w:t>
      </w:r>
    </w:p>
    <w:p w:rsidR="00CF7613" w:rsidRDefault="00F1088C">
      <w:pPr>
        <w:spacing w:after="40"/>
      </w:pPr>
      <w:r>
        <w:t>Each boundary question was raised as part of a structured scoping discussion with the (fictional) CEO and Head of Risk &amp; Compliance, who hold the actual sign-off authority for the documented scope statement under Clause 5.1 (Le</w:t>
      </w:r>
      <w:r>
        <w:t>adership and commitment). The implementer's role was to facilitate the discussion, surface the trade-offs, and draft the resulting scope statement — not to make the call unilaterally.</w:t>
      </w:r>
    </w:p>
    <w:p w:rsidR="00CF7613" w:rsidRDefault="00F1088C">
      <w:pPr>
        <w:pBdr>
          <w:top w:val="single" w:sz="4" w:space="6" w:color="D9D9D9"/>
        </w:pBdr>
        <w:spacing w:before="160"/>
        <w:jc w:val="center"/>
      </w:pPr>
      <w:r>
        <w:rPr>
          <w:i/>
          <w:iCs/>
          <w:color w:val="595959"/>
          <w:sz w:val="15"/>
          <w:szCs w:val="15"/>
        </w:rPr>
        <w:t xml:space="preserve">Tumaini Capital Ltd — ISO/IEC 27001:2022 ISMS Implementation (fictional </w:t>
      </w:r>
      <w:r>
        <w:rPr>
          <w:i/>
          <w:iCs/>
          <w:color w:val="595959"/>
          <w:sz w:val="15"/>
          <w:szCs w:val="15"/>
        </w:rPr>
        <w:t>case study)</w:t>
      </w:r>
    </w:p>
    <w:sectPr w:rsidR="00CF7613">
      <w:pgSz w:w="15840" w:h="12240" w:orient="landscape"/>
      <w:pgMar w:top="600" w:right="650" w:bottom="6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E2FCC"/>
    <w:multiLevelType w:val="hybridMultilevel"/>
    <w:tmpl w:val="DBA251B2"/>
    <w:lvl w:ilvl="0" w:tplc="7E9CBAB4">
      <w:start w:val="1"/>
      <w:numFmt w:val="bullet"/>
      <w:lvlText w:val="●"/>
      <w:lvlJc w:val="left"/>
      <w:pPr>
        <w:ind w:left="720" w:hanging="360"/>
      </w:pPr>
    </w:lvl>
    <w:lvl w:ilvl="1" w:tplc="08FC0714">
      <w:start w:val="1"/>
      <w:numFmt w:val="bullet"/>
      <w:lvlText w:val="○"/>
      <w:lvlJc w:val="left"/>
      <w:pPr>
        <w:ind w:left="1440" w:hanging="360"/>
      </w:pPr>
    </w:lvl>
    <w:lvl w:ilvl="2" w:tplc="E1F05C86">
      <w:start w:val="1"/>
      <w:numFmt w:val="bullet"/>
      <w:lvlText w:val="■"/>
      <w:lvlJc w:val="left"/>
      <w:pPr>
        <w:ind w:left="2160" w:hanging="360"/>
      </w:pPr>
    </w:lvl>
    <w:lvl w:ilvl="3" w:tplc="D8A0F2E8">
      <w:start w:val="1"/>
      <w:numFmt w:val="bullet"/>
      <w:lvlText w:val="●"/>
      <w:lvlJc w:val="left"/>
      <w:pPr>
        <w:ind w:left="2880" w:hanging="360"/>
      </w:pPr>
    </w:lvl>
    <w:lvl w:ilvl="4" w:tplc="51685EFC">
      <w:start w:val="1"/>
      <w:numFmt w:val="bullet"/>
      <w:lvlText w:val="○"/>
      <w:lvlJc w:val="left"/>
      <w:pPr>
        <w:ind w:left="3600" w:hanging="360"/>
      </w:pPr>
    </w:lvl>
    <w:lvl w:ilvl="5" w:tplc="4558A400">
      <w:start w:val="1"/>
      <w:numFmt w:val="bullet"/>
      <w:lvlText w:val="■"/>
      <w:lvlJc w:val="left"/>
      <w:pPr>
        <w:ind w:left="4320" w:hanging="360"/>
      </w:pPr>
    </w:lvl>
    <w:lvl w:ilvl="6" w:tplc="07743900">
      <w:start w:val="1"/>
      <w:numFmt w:val="bullet"/>
      <w:lvlText w:val="●"/>
      <w:lvlJc w:val="left"/>
      <w:pPr>
        <w:ind w:left="5040" w:hanging="360"/>
      </w:pPr>
    </w:lvl>
    <w:lvl w:ilvl="7" w:tplc="2530F7EC">
      <w:start w:val="1"/>
      <w:numFmt w:val="bullet"/>
      <w:lvlText w:val="●"/>
      <w:lvlJc w:val="left"/>
      <w:pPr>
        <w:ind w:left="5760" w:hanging="360"/>
      </w:pPr>
    </w:lvl>
    <w:lvl w:ilvl="8" w:tplc="D598A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B46592"/>
    <w:multiLevelType w:val="hybridMultilevel"/>
    <w:tmpl w:val="DF0EB6B2"/>
    <w:lvl w:ilvl="0" w:tplc="56F44778">
      <w:start w:val="1"/>
      <w:numFmt w:val="bullet"/>
      <w:lvlText w:val="•"/>
      <w:lvlJc w:val="left"/>
      <w:pPr>
        <w:ind w:left="320" w:hanging="220"/>
      </w:pPr>
    </w:lvl>
    <w:lvl w:ilvl="1" w:tplc="4426E148">
      <w:numFmt w:val="decimal"/>
      <w:lvlText w:val=""/>
      <w:lvlJc w:val="left"/>
    </w:lvl>
    <w:lvl w:ilvl="2" w:tplc="4B1AA414">
      <w:numFmt w:val="decimal"/>
      <w:lvlText w:val=""/>
      <w:lvlJc w:val="left"/>
    </w:lvl>
    <w:lvl w:ilvl="3" w:tplc="2C2E2F86">
      <w:numFmt w:val="decimal"/>
      <w:lvlText w:val=""/>
      <w:lvlJc w:val="left"/>
    </w:lvl>
    <w:lvl w:ilvl="4" w:tplc="74460078">
      <w:numFmt w:val="decimal"/>
      <w:lvlText w:val=""/>
      <w:lvlJc w:val="left"/>
    </w:lvl>
    <w:lvl w:ilvl="5" w:tplc="78C24436">
      <w:numFmt w:val="decimal"/>
      <w:lvlText w:val=""/>
      <w:lvlJc w:val="left"/>
    </w:lvl>
    <w:lvl w:ilvl="6" w:tplc="4266BA08">
      <w:numFmt w:val="decimal"/>
      <w:lvlText w:val=""/>
      <w:lvlJc w:val="left"/>
    </w:lvl>
    <w:lvl w:ilvl="7" w:tplc="6F163B9E">
      <w:numFmt w:val="decimal"/>
      <w:lvlText w:val=""/>
      <w:lvlJc w:val="left"/>
    </w:lvl>
    <w:lvl w:ilvl="8" w:tplc="A65A5F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613"/>
    <w:rsid w:val="00CF7613"/>
    <w:rsid w:val="00F1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E89A02-826E-41AE-A34B-DEC0E481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Winnie N Kibebe</cp:lastModifiedBy>
  <cp:revision>2</cp:revision>
  <dcterms:created xsi:type="dcterms:W3CDTF">2026-06-30T12:05:00Z</dcterms:created>
  <dcterms:modified xsi:type="dcterms:W3CDTF">2026-06-30T12:05:00Z</dcterms:modified>
</cp:coreProperties>
</file>