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07089" w:rsidRPr="00D12215" w:rsidRDefault="005B2FF9">
      <w:pPr>
        <w:spacing w:after="30"/>
        <w:jc w:val="center"/>
        <w:rPr>
          <w:rFonts w:ascii="Times New Roman" w:hAnsi="Times New Roman" w:cs="Times New Roman"/>
        </w:rPr>
      </w:pPr>
      <w:r w:rsidRPr="00D12215">
        <w:rPr>
          <w:rFonts w:ascii="Times New Roman" w:hAnsi="Times New Roman" w:cs="Times New Roman"/>
          <w:b/>
          <w:bCs/>
          <w:color w:val="1F3864"/>
          <w:sz w:val="34"/>
          <w:szCs w:val="34"/>
        </w:rPr>
        <w:t>INCIDENT RESPONSE POLICY</w:t>
      </w:r>
    </w:p>
    <w:p w:rsidR="00507089" w:rsidRPr="00D12215" w:rsidRDefault="005B2FF9">
      <w:pPr>
        <w:pBdr>
          <w:bottom w:val="single" w:sz="12" w:space="0" w:color="1F3864"/>
        </w:pBdr>
        <w:spacing w:after="20"/>
        <w:jc w:val="center"/>
        <w:rPr>
          <w:rFonts w:ascii="Times New Roman" w:hAnsi="Times New Roman" w:cs="Times New Roman"/>
        </w:rPr>
      </w:pPr>
      <w:r w:rsidRPr="00D12215">
        <w:rPr>
          <w:rFonts w:ascii="Times New Roman" w:hAnsi="Times New Roman" w:cs="Times New Roman"/>
          <w:color w:val="595959"/>
          <w:sz w:val="17"/>
          <w:szCs w:val="17"/>
        </w:rPr>
        <w:t xml:space="preserve">Tumaini Capital </w:t>
      </w:r>
      <w:proofErr w:type="gramStart"/>
      <w:r w:rsidRPr="00D12215">
        <w:rPr>
          <w:rFonts w:ascii="Times New Roman" w:hAnsi="Times New Roman" w:cs="Times New Roman"/>
          <w:color w:val="595959"/>
          <w:sz w:val="17"/>
          <w:szCs w:val="17"/>
        </w:rPr>
        <w:t>Ltd  |</w:t>
      </w:r>
      <w:proofErr w:type="gramEnd"/>
      <w:r w:rsidRPr="00D12215">
        <w:rPr>
          <w:rFonts w:ascii="Times New Roman" w:hAnsi="Times New Roman" w:cs="Times New Roman"/>
          <w:color w:val="595959"/>
          <w:sz w:val="17"/>
          <w:szCs w:val="17"/>
        </w:rPr>
        <w:t xml:space="preserve">  ISMS-POL-003  |  ISO/IEC 27001:2022 — Annex A Controls 5.24–5.28  |  Fictional case study</w:t>
      </w:r>
    </w:p>
    <w:p w:rsidR="00507089" w:rsidRPr="00D12215" w:rsidRDefault="00507089">
      <w:pPr>
        <w:spacing w:after="100"/>
        <w:rPr>
          <w:rFonts w:ascii="Times New Roman" w:hAnsi="Times New Roman" w:cs="Times New Roman"/>
        </w:rP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2400"/>
      </w:tblGrid>
      <w:tr w:rsidR="00507089" w:rsidRPr="00EE12B1">
        <w:tc>
          <w:tcPr>
            <w:tcW w:w="24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507089" w:rsidRPr="00EE12B1" w:rsidRDefault="005B2FF9">
            <w:pPr>
              <w:rPr>
                <w:rFonts w:ascii="Times New Roman" w:hAnsi="Times New Roman" w:cs="Times New Roman"/>
                <w:sz w:val="20"/>
                <w:szCs w:val="20"/>
              </w:rPr>
            </w:pPr>
            <w:r w:rsidRPr="00EE12B1">
              <w:rPr>
                <w:rFonts w:ascii="Times New Roman" w:hAnsi="Times New Roman" w:cs="Times New Roman"/>
                <w:b/>
                <w:bCs/>
                <w:color w:val="1F3864"/>
                <w:sz w:val="20"/>
                <w:szCs w:val="20"/>
              </w:rPr>
              <w:t>Document Title</w:t>
            </w:r>
          </w:p>
        </w:tc>
        <w:tc>
          <w:tcPr>
            <w:tcW w:w="2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507089" w:rsidRPr="00EE12B1" w:rsidRDefault="005B2FF9">
            <w:pPr>
              <w:rPr>
                <w:rFonts w:ascii="Times New Roman" w:hAnsi="Times New Roman" w:cs="Times New Roman"/>
                <w:sz w:val="20"/>
                <w:szCs w:val="20"/>
              </w:rPr>
            </w:pPr>
            <w:r w:rsidRPr="00EE12B1">
              <w:rPr>
                <w:rFonts w:ascii="Times New Roman" w:hAnsi="Times New Roman" w:cs="Times New Roman"/>
                <w:b/>
                <w:bCs/>
                <w:color w:val="1F3864"/>
                <w:sz w:val="20"/>
                <w:szCs w:val="20"/>
              </w:rPr>
              <w:t>Incident Response Policy</w:t>
            </w:r>
          </w:p>
        </w:tc>
        <w:tc>
          <w:tcPr>
            <w:tcW w:w="24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507089" w:rsidRPr="00EE12B1" w:rsidRDefault="005B2FF9">
            <w:pPr>
              <w:rPr>
                <w:rFonts w:ascii="Times New Roman" w:hAnsi="Times New Roman" w:cs="Times New Roman"/>
                <w:sz w:val="20"/>
                <w:szCs w:val="20"/>
              </w:rPr>
            </w:pPr>
            <w:r w:rsidRPr="00EE12B1">
              <w:rPr>
                <w:rFonts w:ascii="Times New Roman" w:hAnsi="Times New Roman" w:cs="Times New Roman"/>
                <w:b/>
                <w:bCs/>
                <w:color w:val="1F3864"/>
                <w:sz w:val="20"/>
                <w:szCs w:val="20"/>
              </w:rPr>
              <w:t>Document ID</w:t>
            </w:r>
          </w:p>
        </w:tc>
        <w:tc>
          <w:tcPr>
            <w:tcW w:w="2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507089" w:rsidRPr="00EE12B1" w:rsidRDefault="005B2FF9">
            <w:pPr>
              <w:rPr>
                <w:rFonts w:ascii="Times New Roman" w:hAnsi="Times New Roman" w:cs="Times New Roman"/>
                <w:sz w:val="20"/>
                <w:szCs w:val="20"/>
              </w:rPr>
            </w:pPr>
            <w:r w:rsidRPr="00EE12B1">
              <w:rPr>
                <w:rFonts w:ascii="Times New Roman" w:hAnsi="Times New Roman" w:cs="Times New Roman"/>
                <w:sz w:val="20"/>
                <w:szCs w:val="20"/>
              </w:rPr>
              <w:t>ISMS-POL-003</w:t>
            </w:r>
          </w:p>
        </w:tc>
      </w:tr>
      <w:tr w:rsidR="00507089" w:rsidRPr="00EE12B1">
        <w:tc>
          <w:tcPr>
            <w:tcW w:w="24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507089" w:rsidRPr="00EE12B1" w:rsidRDefault="005B2FF9">
            <w:pPr>
              <w:rPr>
                <w:rFonts w:ascii="Times New Roman" w:hAnsi="Times New Roman" w:cs="Times New Roman"/>
                <w:sz w:val="20"/>
                <w:szCs w:val="20"/>
              </w:rPr>
            </w:pPr>
            <w:r w:rsidRPr="00EE12B1">
              <w:rPr>
                <w:rFonts w:ascii="Times New Roman" w:hAnsi="Times New Roman" w:cs="Times New Roman"/>
                <w:b/>
                <w:bCs/>
                <w:color w:val="1F3864"/>
                <w:sz w:val="20"/>
                <w:szCs w:val="20"/>
              </w:rPr>
              <w:t>Version</w:t>
            </w:r>
          </w:p>
        </w:tc>
        <w:tc>
          <w:tcPr>
            <w:tcW w:w="2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507089" w:rsidRPr="00EE12B1" w:rsidRDefault="005B2FF9">
            <w:pPr>
              <w:rPr>
                <w:rFonts w:ascii="Times New Roman" w:hAnsi="Times New Roman" w:cs="Times New Roman"/>
                <w:sz w:val="20"/>
                <w:szCs w:val="20"/>
              </w:rPr>
            </w:pPr>
            <w:r w:rsidRPr="00EE12B1">
              <w:rPr>
                <w:rFonts w:ascii="Times New Roman" w:hAnsi="Times New Roman" w:cs="Times New Roman"/>
                <w:sz w:val="20"/>
                <w:szCs w:val="20"/>
              </w:rPr>
              <w:t>1.0</w:t>
            </w:r>
          </w:p>
        </w:tc>
        <w:tc>
          <w:tcPr>
            <w:tcW w:w="24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507089" w:rsidRPr="00EE12B1" w:rsidRDefault="005B2FF9">
            <w:pPr>
              <w:rPr>
                <w:rFonts w:ascii="Times New Roman" w:hAnsi="Times New Roman" w:cs="Times New Roman"/>
                <w:sz w:val="20"/>
                <w:szCs w:val="20"/>
              </w:rPr>
            </w:pPr>
            <w:r w:rsidRPr="00EE12B1">
              <w:rPr>
                <w:rFonts w:ascii="Times New Roman" w:hAnsi="Times New Roman" w:cs="Times New Roman"/>
                <w:b/>
                <w:bCs/>
                <w:color w:val="1F3864"/>
                <w:sz w:val="20"/>
                <w:szCs w:val="20"/>
              </w:rPr>
              <w:t>Status</w:t>
            </w:r>
          </w:p>
        </w:tc>
        <w:tc>
          <w:tcPr>
            <w:tcW w:w="2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507089" w:rsidRPr="00EE12B1" w:rsidRDefault="005B2FF9">
            <w:pPr>
              <w:rPr>
                <w:rFonts w:ascii="Times New Roman" w:hAnsi="Times New Roman" w:cs="Times New Roman"/>
                <w:sz w:val="20"/>
                <w:szCs w:val="20"/>
              </w:rPr>
            </w:pPr>
            <w:r w:rsidRPr="00EE12B1">
              <w:rPr>
                <w:rFonts w:ascii="Times New Roman" w:hAnsi="Times New Roman" w:cs="Times New Roman"/>
                <w:i/>
                <w:iCs/>
                <w:color w:val="8C6010"/>
                <w:sz w:val="20"/>
                <w:szCs w:val="20"/>
              </w:rPr>
              <w:t>DRAFT — Pending Approval</w:t>
            </w:r>
          </w:p>
        </w:tc>
      </w:tr>
      <w:tr w:rsidR="00507089" w:rsidRPr="00EE12B1">
        <w:tc>
          <w:tcPr>
            <w:tcW w:w="24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507089" w:rsidRPr="00EE12B1" w:rsidRDefault="005B2FF9">
            <w:pPr>
              <w:rPr>
                <w:rFonts w:ascii="Times New Roman" w:hAnsi="Times New Roman" w:cs="Times New Roman"/>
                <w:sz w:val="20"/>
                <w:szCs w:val="20"/>
              </w:rPr>
            </w:pPr>
            <w:r w:rsidRPr="00EE12B1">
              <w:rPr>
                <w:rFonts w:ascii="Times New Roman" w:hAnsi="Times New Roman" w:cs="Times New Roman"/>
                <w:b/>
                <w:bCs/>
                <w:color w:val="1F3864"/>
                <w:sz w:val="20"/>
                <w:szCs w:val="20"/>
              </w:rPr>
              <w:t>Author</w:t>
            </w:r>
          </w:p>
        </w:tc>
        <w:tc>
          <w:tcPr>
            <w:tcW w:w="2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507089" w:rsidRPr="00EE12B1" w:rsidRDefault="005B2FF9">
            <w:pPr>
              <w:rPr>
                <w:rFonts w:ascii="Times New Roman" w:hAnsi="Times New Roman" w:cs="Times New Roman"/>
                <w:sz w:val="20"/>
                <w:szCs w:val="20"/>
              </w:rPr>
            </w:pPr>
            <w:r w:rsidRPr="00EE12B1">
              <w:rPr>
                <w:rFonts w:ascii="Times New Roman" w:hAnsi="Times New Roman" w:cs="Times New Roman"/>
                <w:sz w:val="20"/>
                <w:szCs w:val="20"/>
              </w:rPr>
              <w:t>Head of Risk &amp; Compliance (ISMS Lead)</w:t>
            </w:r>
          </w:p>
        </w:tc>
        <w:tc>
          <w:tcPr>
            <w:tcW w:w="24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507089" w:rsidRPr="00EE12B1" w:rsidRDefault="005B2FF9">
            <w:pPr>
              <w:rPr>
                <w:rFonts w:ascii="Times New Roman" w:hAnsi="Times New Roman" w:cs="Times New Roman"/>
                <w:sz w:val="20"/>
                <w:szCs w:val="20"/>
              </w:rPr>
            </w:pPr>
            <w:r w:rsidRPr="00EE12B1">
              <w:rPr>
                <w:rFonts w:ascii="Times New Roman" w:hAnsi="Times New Roman" w:cs="Times New Roman"/>
                <w:b/>
                <w:bCs/>
                <w:color w:val="1F3864"/>
                <w:sz w:val="20"/>
                <w:szCs w:val="20"/>
              </w:rPr>
              <w:t>Date</w:t>
            </w:r>
          </w:p>
        </w:tc>
        <w:tc>
          <w:tcPr>
            <w:tcW w:w="2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507089" w:rsidRPr="00EE12B1" w:rsidRDefault="005B2FF9">
            <w:pPr>
              <w:rPr>
                <w:rFonts w:ascii="Times New Roman" w:hAnsi="Times New Roman" w:cs="Times New Roman"/>
                <w:sz w:val="20"/>
                <w:szCs w:val="20"/>
              </w:rPr>
            </w:pPr>
            <w:r w:rsidRPr="00EE12B1">
              <w:rPr>
                <w:rFonts w:ascii="Times New Roman" w:hAnsi="Times New Roman" w:cs="Times New Roman"/>
                <w:sz w:val="20"/>
                <w:szCs w:val="20"/>
              </w:rPr>
              <w:t>June 2026</w:t>
            </w:r>
          </w:p>
        </w:tc>
      </w:tr>
      <w:tr w:rsidR="00507089" w:rsidRPr="00EE12B1">
        <w:tc>
          <w:tcPr>
            <w:tcW w:w="24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507089" w:rsidRPr="00EE12B1" w:rsidRDefault="005B2FF9">
            <w:pPr>
              <w:rPr>
                <w:rFonts w:ascii="Times New Roman" w:hAnsi="Times New Roman" w:cs="Times New Roman"/>
                <w:sz w:val="20"/>
                <w:szCs w:val="20"/>
              </w:rPr>
            </w:pPr>
            <w:r w:rsidRPr="00EE12B1">
              <w:rPr>
                <w:rFonts w:ascii="Times New Roman" w:hAnsi="Times New Roman" w:cs="Times New Roman"/>
                <w:b/>
                <w:bCs/>
                <w:color w:val="1F3864"/>
                <w:sz w:val="20"/>
                <w:szCs w:val="20"/>
              </w:rPr>
              <w:t>Approved By</w:t>
            </w:r>
          </w:p>
        </w:tc>
        <w:tc>
          <w:tcPr>
            <w:tcW w:w="2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507089" w:rsidRPr="00EE12B1" w:rsidRDefault="005B2FF9">
            <w:pPr>
              <w:rPr>
                <w:rFonts w:ascii="Times New Roman" w:hAnsi="Times New Roman" w:cs="Times New Roman"/>
                <w:sz w:val="20"/>
                <w:szCs w:val="20"/>
              </w:rPr>
            </w:pPr>
            <w:r w:rsidRPr="00EE12B1">
              <w:rPr>
                <w:rFonts w:ascii="Times New Roman" w:hAnsi="Times New Roman" w:cs="Times New Roman"/>
                <w:sz w:val="20"/>
                <w:szCs w:val="20"/>
              </w:rPr>
              <w:t>ISMS Lead &amp; CEO</w:t>
            </w:r>
          </w:p>
        </w:tc>
        <w:tc>
          <w:tcPr>
            <w:tcW w:w="24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507089" w:rsidRPr="00EE12B1" w:rsidRDefault="005B2FF9">
            <w:pPr>
              <w:rPr>
                <w:rFonts w:ascii="Times New Roman" w:hAnsi="Times New Roman" w:cs="Times New Roman"/>
                <w:sz w:val="20"/>
                <w:szCs w:val="20"/>
              </w:rPr>
            </w:pPr>
            <w:r w:rsidRPr="00EE12B1">
              <w:rPr>
                <w:rFonts w:ascii="Times New Roman" w:hAnsi="Times New Roman" w:cs="Times New Roman"/>
                <w:b/>
                <w:bCs/>
                <w:color w:val="1F3864"/>
                <w:sz w:val="20"/>
                <w:szCs w:val="20"/>
              </w:rPr>
              <w:t>Next Review</w:t>
            </w:r>
          </w:p>
        </w:tc>
        <w:tc>
          <w:tcPr>
            <w:tcW w:w="2400" w:type="dxa"/>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507089" w:rsidRPr="00EE12B1" w:rsidRDefault="005B2FF9">
            <w:pPr>
              <w:rPr>
                <w:rFonts w:ascii="Times New Roman" w:hAnsi="Times New Roman" w:cs="Times New Roman"/>
                <w:sz w:val="20"/>
                <w:szCs w:val="20"/>
              </w:rPr>
            </w:pPr>
            <w:r w:rsidRPr="00EE12B1">
              <w:rPr>
                <w:rFonts w:ascii="Times New Roman" w:hAnsi="Times New Roman" w:cs="Times New Roman"/>
                <w:sz w:val="20"/>
                <w:szCs w:val="20"/>
              </w:rPr>
              <w:t>June 2027</w:t>
            </w:r>
          </w:p>
        </w:tc>
      </w:tr>
      <w:tr w:rsidR="00507089" w:rsidRPr="00EE12B1" w:rsidTr="00EE12B1">
        <w:trPr>
          <w:trHeight w:val="25"/>
        </w:trPr>
        <w:tc>
          <w:tcPr>
            <w:tcW w:w="2400" w:type="dxa"/>
            <w:tcBorders>
              <w:top w:val="single" w:sz="2" w:space="0" w:color="D9D9D9"/>
              <w:left w:val="single" w:sz="2" w:space="0" w:color="D9D9D9"/>
              <w:bottom w:val="single" w:sz="2" w:space="0" w:color="D9D9D9"/>
              <w:right w:val="single" w:sz="2" w:space="0" w:color="D9D9D9"/>
            </w:tcBorders>
            <w:shd w:val="clear" w:color="auto" w:fill="D6E0EE"/>
            <w:tcMar>
              <w:top w:w="70" w:type="dxa"/>
              <w:left w:w="100" w:type="dxa"/>
              <w:bottom w:w="70" w:type="dxa"/>
              <w:right w:w="100" w:type="dxa"/>
            </w:tcMar>
          </w:tcPr>
          <w:p w:rsidR="00507089" w:rsidRPr="00EE12B1" w:rsidRDefault="005B2FF9">
            <w:pPr>
              <w:rPr>
                <w:rFonts w:ascii="Times New Roman" w:hAnsi="Times New Roman" w:cs="Times New Roman"/>
                <w:sz w:val="20"/>
                <w:szCs w:val="20"/>
              </w:rPr>
            </w:pPr>
            <w:r w:rsidRPr="00EE12B1">
              <w:rPr>
                <w:rFonts w:ascii="Times New Roman" w:hAnsi="Times New Roman" w:cs="Times New Roman"/>
                <w:b/>
                <w:bCs/>
                <w:color w:val="1F3864"/>
                <w:sz w:val="20"/>
                <w:szCs w:val="20"/>
              </w:rPr>
              <w:t>Related Documents</w:t>
            </w:r>
          </w:p>
        </w:tc>
        <w:tc>
          <w:tcPr>
            <w:tcW w:w="7200" w:type="dxa"/>
            <w:gridSpan w:val="3"/>
            <w:tcBorders>
              <w:top w:val="single" w:sz="2" w:space="0" w:color="D9D9D9"/>
              <w:left w:val="single" w:sz="2" w:space="0" w:color="D9D9D9"/>
              <w:bottom w:val="single" w:sz="2" w:space="0" w:color="D9D9D9"/>
              <w:right w:val="single" w:sz="2" w:space="0" w:color="D9D9D9"/>
            </w:tcBorders>
            <w:tcMar>
              <w:top w:w="70" w:type="dxa"/>
              <w:left w:w="100" w:type="dxa"/>
              <w:bottom w:w="70" w:type="dxa"/>
              <w:right w:w="100" w:type="dxa"/>
            </w:tcMar>
          </w:tcPr>
          <w:p w:rsidR="00507089" w:rsidRPr="00EE12B1" w:rsidRDefault="005B2FF9">
            <w:pPr>
              <w:rPr>
                <w:rFonts w:ascii="Times New Roman" w:hAnsi="Times New Roman" w:cs="Times New Roman"/>
                <w:sz w:val="20"/>
                <w:szCs w:val="20"/>
              </w:rPr>
            </w:pPr>
            <w:r w:rsidRPr="00EE12B1">
              <w:rPr>
                <w:rFonts w:ascii="Times New Roman" w:hAnsi="Times New Roman" w:cs="Times New Roman"/>
                <w:sz w:val="20"/>
                <w:szCs w:val="20"/>
              </w:rPr>
              <w:t>ISMS-POL-001 (Information Security Policy), ISMS-POL-002 (Access Control Policy), ISMS-DOC-006 (Risk Assessment — R-007), DPA 2019 s.43</w:t>
            </w:r>
          </w:p>
        </w:tc>
        <w:bookmarkStart w:id="0" w:name="_GoBack"/>
        <w:bookmarkEnd w:id="0"/>
      </w:tr>
    </w:tbl>
    <w:p w:rsidR="00507089" w:rsidRPr="00D12215" w:rsidRDefault="00507089">
      <w:pPr>
        <w:spacing w:after="80"/>
        <w:rPr>
          <w:rFonts w:ascii="Times New Roman" w:hAnsi="Times New Roman" w:cs="Times New Roman"/>
        </w:rPr>
      </w:pPr>
    </w:p>
    <w:p w:rsidR="00507089" w:rsidRPr="006300EC" w:rsidRDefault="005B2FF9">
      <w:pPr>
        <w:pBdr>
          <w:bottom w:val="single" w:sz="6" w:space="0" w:color="B8923A"/>
          <w:right w:val="single" w:sz="22" w:space="0" w:color="1F3864"/>
        </w:pBdr>
        <w:spacing w:before="260" w:after="70"/>
        <w:rPr>
          <w:rFonts w:ascii="Times New Roman" w:hAnsi="Times New Roman" w:cs="Times New Roman"/>
          <w:sz w:val="24"/>
          <w:szCs w:val="24"/>
        </w:rPr>
      </w:pPr>
      <w:r w:rsidRPr="006300EC">
        <w:rPr>
          <w:rFonts w:ascii="Times New Roman" w:hAnsi="Times New Roman" w:cs="Times New Roman"/>
          <w:b/>
          <w:bCs/>
          <w:color w:val="B8923A"/>
          <w:sz w:val="24"/>
          <w:szCs w:val="24"/>
        </w:rPr>
        <w:t xml:space="preserve">1.  </w:t>
      </w:r>
      <w:r w:rsidRPr="006300EC">
        <w:rPr>
          <w:rFonts w:ascii="Times New Roman" w:hAnsi="Times New Roman" w:cs="Times New Roman"/>
          <w:b/>
          <w:bCs/>
          <w:color w:val="1F3864"/>
          <w:sz w:val="24"/>
          <w:szCs w:val="24"/>
        </w:rPr>
        <w:t>PURPOSE</w:t>
      </w:r>
    </w:p>
    <w:p w:rsidR="00507089" w:rsidRPr="00D12215" w:rsidRDefault="005B2FF9" w:rsidP="00D12215">
      <w:pPr>
        <w:spacing w:after="80"/>
        <w:jc w:val="both"/>
        <w:rPr>
          <w:rFonts w:ascii="Times New Roman" w:hAnsi="Times New Roman" w:cs="Times New Roman"/>
          <w:sz w:val="24"/>
          <w:szCs w:val="24"/>
        </w:rPr>
      </w:pPr>
      <w:r w:rsidRPr="00D12215">
        <w:rPr>
          <w:rFonts w:ascii="Times New Roman" w:hAnsi="Times New Roman" w:cs="Times New Roman"/>
          <w:sz w:val="24"/>
          <w:szCs w:val="24"/>
        </w:rPr>
        <w:t xml:space="preserve">This policy establishes Tumaini Capital's requirements for managing information security incidents throughout their full </w:t>
      </w:r>
      <w:r w:rsidR="00D12215" w:rsidRPr="00D12215">
        <w:rPr>
          <w:rFonts w:ascii="Times New Roman" w:hAnsi="Times New Roman" w:cs="Times New Roman"/>
          <w:sz w:val="24"/>
          <w:szCs w:val="24"/>
        </w:rPr>
        <w:t>lifecycle,</w:t>
      </w:r>
      <w:r w:rsidRPr="00D12215">
        <w:rPr>
          <w:rFonts w:ascii="Times New Roman" w:hAnsi="Times New Roman" w:cs="Times New Roman"/>
          <w:sz w:val="24"/>
          <w:szCs w:val="24"/>
        </w:rPr>
        <w:t xml:space="preserve"> from initial detection through containment, recovery, and post-incident review. It ensures that incidents are handled consistently, that the appropriate parties are notified within required timeframes, and that lessons learned are captured to prevent recurrence.</w:t>
      </w:r>
    </w:p>
    <w:p w:rsidR="00507089" w:rsidRPr="00D12215" w:rsidRDefault="005B2FF9" w:rsidP="00D12215">
      <w:pPr>
        <w:spacing w:after="80"/>
        <w:jc w:val="both"/>
        <w:rPr>
          <w:rFonts w:ascii="Times New Roman" w:hAnsi="Times New Roman" w:cs="Times New Roman"/>
          <w:sz w:val="24"/>
          <w:szCs w:val="24"/>
        </w:rPr>
      </w:pPr>
      <w:r w:rsidRPr="00D12215">
        <w:rPr>
          <w:rFonts w:ascii="Times New Roman" w:hAnsi="Times New Roman" w:cs="Times New Roman"/>
          <w:sz w:val="24"/>
          <w:szCs w:val="24"/>
        </w:rPr>
        <w:t>This policy is motivated by Tumaini Capital's experience of a 2025 CRM access incident that was not formally managed. That incident exposed customer telephone numbers and was resolved without a documented response process, root cause analysis, or corrective action. This policy ensures that any future incident is handled with the discipline the Data Protection Act, 2019 and ISO/IEC 27001:2022 require.</w:t>
      </w:r>
    </w:p>
    <w:p w:rsidR="00507089" w:rsidRPr="006300EC" w:rsidRDefault="005B2FF9">
      <w:pPr>
        <w:pBdr>
          <w:bottom w:val="single" w:sz="6" w:space="0" w:color="B8923A"/>
          <w:right w:val="single" w:sz="22" w:space="0" w:color="1F3864"/>
        </w:pBdr>
        <w:spacing w:before="260" w:after="70"/>
        <w:rPr>
          <w:rFonts w:ascii="Times New Roman" w:hAnsi="Times New Roman" w:cs="Times New Roman"/>
          <w:sz w:val="24"/>
          <w:szCs w:val="24"/>
        </w:rPr>
      </w:pPr>
      <w:r w:rsidRPr="006300EC">
        <w:rPr>
          <w:rFonts w:ascii="Times New Roman" w:hAnsi="Times New Roman" w:cs="Times New Roman"/>
          <w:b/>
          <w:bCs/>
          <w:color w:val="B8923A"/>
          <w:sz w:val="24"/>
          <w:szCs w:val="24"/>
        </w:rPr>
        <w:t xml:space="preserve">2.  </w:t>
      </w:r>
      <w:r w:rsidRPr="006300EC">
        <w:rPr>
          <w:rFonts w:ascii="Times New Roman" w:hAnsi="Times New Roman" w:cs="Times New Roman"/>
          <w:b/>
          <w:bCs/>
          <w:color w:val="1F3864"/>
          <w:sz w:val="24"/>
          <w:szCs w:val="24"/>
        </w:rPr>
        <w:t>SCOPE</w:t>
      </w:r>
    </w:p>
    <w:p w:rsidR="00507089" w:rsidRPr="005B2FF9" w:rsidRDefault="005B2FF9" w:rsidP="005B2FF9">
      <w:pPr>
        <w:spacing w:after="80"/>
        <w:jc w:val="both"/>
        <w:rPr>
          <w:rFonts w:ascii="Times New Roman" w:hAnsi="Times New Roman" w:cs="Times New Roman"/>
          <w:sz w:val="24"/>
          <w:szCs w:val="24"/>
        </w:rPr>
      </w:pPr>
      <w:r w:rsidRPr="005B2FF9">
        <w:rPr>
          <w:rFonts w:ascii="Times New Roman" w:hAnsi="Times New Roman" w:cs="Times New Roman"/>
          <w:sz w:val="24"/>
          <w:szCs w:val="24"/>
        </w:rPr>
        <w:t>This policy applies to all information security events and incidents affecting Tumaini Capital's in-scope information systems, data, and physical assets, as defined in the ISMS Scope Statement (ISMS-DOC-001). It applies to all staff, contractors, and third-party suppliers who detect, respond to, or are involved in an information security incident.</w:t>
      </w:r>
    </w:p>
    <w:p w:rsidR="00507089" w:rsidRPr="00D12215" w:rsidRDefault="005B2FF9">
      <w:pPr>
        <w:pBdr>
          <w:bottom w:val="single" w:sz="6" w:space="0" w:color="B8923A"/>
          <w:right w:val="single" w:sz="22" w:space="0" w:color="1F3864"/>
        </w:pBdr>
        <w:spacing w:before="260" w:after="70"/>
        <w:rPr>
          <w:rFonts w:ascii="Times New Roman" w:hAnsi="Times New Roman" w:cs="Times New Roman"/>
        </w:rPr>
      </w:pPr>
      <w:r w:rsidRPr="00D12215">
        <w:rPr>
          <w:rFonts w:ascii="Times New Roman" w:hAnsi="Times New Roman" w:cs="Times New Roman"/>
          <w:b/>
          <w:bCs/>
          <w:color w:val="B8923A"/>
          <w:sz w:val="21"/>
          <w:szCs w:val="21"/>
        </w:rPr>
        <w:t>3.</w:t>
      </w:r>
      <w:r w:rsidRPr="006300EC">
        <w:rPr>
          <w:rFonts w:ascii="Times New Roman" w:hAnsi="Times New Roman" w:cs="Times New Roman"/>
          <w:b/>
          <w:bCs/>
          <w:color w:val="B8923A"/>
          <w:sz w:val="24"/>
          <w:szCs w:val="24"/>
        </w:rPr>
        <w:t xml:space="preserve">  </w:t>
      </w:r>
      <w:r w:rsidRPr="006300EC">
        <w:rPr>
          <w:rFonts w:ascii="Times New Roman" w:hAnsi="Times New Roman" w:cs="Times New Roman"/>
          <w:b/>
          <w:bCs/>
          <w:color w:val="1F3864"/>
          <w:sz w:val="24"/>
          <w:szCs w:val="24"/>
        </w:rPr>
        <w:t>DEFINITIONS</w:t>
      </w:r>
    </w:p>
    <w:p w:rsidR="00507089" w:rsidRPr="005B2FF9" w:rsidRDefault="005B2FF9">
      <w:pPr>
        <w:pStyle w:val="ListParagraph"/>
        <w:numPr>
          <w:ilvl w:val="0"/>
          <w:numId w:val="2"/>
        </w:numPr>
        <w:spacing w:after="50"/>
        <w:rPr>
          <w:rFonts w:ascii="Times New Roman" w:hAnsi="Times New Roman" w:cs="Times New Roman"/>
          <w:sz w:val="24"/>
          <w:szCs w:val="24"/>
        </w:rPr>
      </w:pPr>
      <w:r w:rsidRPr="005B2FF9">
        <w:rPr>
          <w:rFonts w:ascii="Times New Roman" w:hAnsi="Times New Roman" w:cs="Times New Roman"/>
          <w:sz w:val="24"/>
          <w:szCs w:val="24"/>
        </w:rPr>
        <w:t>Information security event: an identified occurrence suggesting a possible breach of information security policy or failure of controls, or a previously unknown situation that may be security-relevant. Not all events are incidents.</w:t>
      </w:r>
    </w:p>
    <w:p w:rsidR="00507089" w:rsidRPr="005B2FF9" w:rsidRDefault="005B2FF9">
      <w:pPr>
        <w:pStyle w:val="ListParagraph"/>
        <w:numPr>
          <w:ilvl w:val="0"/>
          <w:numId w:val="2"/>
        </w:numPr>
        <w:spacing w:after="50"/>
        <w:rPr>
          <w:rFonts w:ascii="Times New Roman" w:hAnsi="Times New Roman" w:cs="Times New Roman"/>
          <w:sz w:val="24"/>
          <w:szCs w:val="24"/>
        </w:rPr>
      </w:pPr>
      <w:r w:rsidRPr="005B2FF9">
        <w:rPr>
          <w:rFonts w:ascii="Times New Roman" w:hAnsi="Times New Roman" w:cs="Times New Roman"/>
          <w:sz w:val="24"/>
          <w:szCs w:val="24"/>
        </w:rPr>
        <w:t>Information security incident: a single or series of unwanted or unexpected information security events that have a significant probability of compromising business operations or information security.</w:t>
      </w:r>
    </w:p>
    <w:p w:rsidR="00507089" w:rsidRPr="005B2FF9" w:rsidRDefault="005B2FF9">
      <w:pPr>
        <w:pStyle w:val="ListParagraph"/>
        <w:numPr>
          <w:ilvl w:val="0"/>
          <w:numId w:val="2"/>
        </w:numPr>
        <w:spacing w:after="50"/>
        <w:rPr>
          <w:rFonts w:ascii="Times New Roman" w:hAnsi="Times New Roman" w:cs="Times New Roman"/>
          <w:sz w:val="24"/>
          <w:szCs w:val="24"/>
        </w:rPr>
      </w:pPr>
      <w:r w:rsidRPr="005B2FF9">
        <w:rPr>
          <w:rFonts w:ascii="Times New Roman" w:hAnsi="Times New Roman" w:cs="Times New Roman"/>
          <w:sz w:val="24"/>
          <w:szCs w:val="24"/>
        </w:rPr>
        <w:t>Personal data breach: a breach of security leading to the accidental or unlawful destruction, loss, alteration, unauthorized disclosure of, or access to, personal data.</w:t>
      </w:r>
    </w:p>
    <w:p w:rsidR="00507089" w:rsidRPr="005B2FF9" w:rsidRDefault="005B2FF9">
      <w:pPr>
        <w:pStyle w:val="ListParagraph"/>
        <w:numPr>
          <w:ilvl w:val="0"/>
          <w:numId w:val="2"/>
        </w:numPr>
        <w:spacing w:after="50"/>
        <w:rPr>
          <w:rFonts w:ascii="Times New Roman" w:hAnsi="Times New Roman" w:cs="Times New Roman"/>
          <w:sz w:val="24"/>
          <w:szCs w:val="24"/>
        </w:rPr>
      </w:pPr>
      <w:r w:rsidRPr="005B2FF9">
        <w:rPr>
          <w:rFonts w:ascii="Times New Roman" w:hAnsi="Times New Roman" w:cs="Times New Roman"/>
          <w:sz w:val="24"/>
          <w:szCs w:val="24"/>
        </w:rPr>
        <w:t>Near miss: a security event that did not result in actual harm but could have done so under different circumstances. Near misses shall be treated as incidents for reporting and review purposes.</w:t>
      </w:r>
    </w:p>
    <w:p w:rsidR="00507089" w:rsidRPr="006300EC" w:rsidRDefault="005B2FF9">
      <w:pPr>
        <w:pBdr>
          <w:bottom w:val="single" w:sz="6" w:space="0" w:color="B8923A"/>
          <w:right w:val="single" w:sz="22" w:space="0" w:color="1F3864"/>
        </w:pBdr>
        <w:spacing w:before="260" w:after="70"/>
        <w:rPr>
          <w:rFonts w:ascii="Times New Roman" w:hAnsi="Times New Roman" w:cs="Times New Roman"/>
          <w:sz w:val="24"/>
          <w:szCs w:val="24"/>
        </w:rPr>
      </w:pPr>
      <w:r w:rsidRPr="006300EC">
        <w:rPr>
          <w:rFonts w:ascii="Times New Roman" w:hAnsi="Times New Roman" w:cs="Times New Roman"/>
          <w:b/>
          <w:bCs/>
          <w:color w:val="B8923A"/>
          <w:sz w:val="24"/>
          <w:szCs w:val="24"/>
        </w:rPr>
        <w:t xml:space="preserve">4.  </w:t>
      </w:r>
      <w:r w:rsidRPr="006300EC">
        <w:rPr>
          <w:rFonts w:ascii="Times New Roman" w:hAnsi="Times New Roman" w:cs="Times New Roman"/>
          <w:b/>
          <w:bCs/>
          <w:color w:val="1F3864"/>
          <w:sz w:val="24"/>
          <w:szCs w:val="24"/>
        </w:rPr>
        <w:t>INCIDENT SEVERITY CLASSIFICATION</w:t>
      </w:r>
    </w:p>
    <w:p w:rsidR="00507089" w:rsidRDefault="005B2FF9">
      <w:pPr>
        <w:spacing w:after="80"/>
        <w:rPr>
          <w:rFonts w:ascii="Times New Roman" w:hAnsi="Times New Roman" w:cs="Times New Roman"/>
          <w:sz w:val="24"/>
          <w:szCs w:val="24"/>
        </w:rPr>
      </w:pPr>
      <w:r w:rsidRPr="005B2FF9">
        <w:rPr>
          <w:rFonts w:ascii="Times New Roman" w:hAnsi="Times New Roman" w:cs="Times New Roman"/>
          <w:sz w:val="24"/>
          <w:szCs w:val="24"/>
        </w:rPr>
        <w:t>All confirmed incidents shall be classified using the following scheme. Initial classification may be revised as investigation progresses.</w:t>
      </w:r>
    </w:p>
    <w:p w:rsidR="005B2FF9" w:rsidRDefault="005B2FF9">
      <w:pPr>
        <w:spacing w:after="80"/>
        <w:rPr>
          <w:rFonts w:ascii="Times New Roman" w:hAnsi="Times New Roman" w:cs="Times New Roman"/>
          <w:sz w:val="24"/>
          <w:szCs w:val="24"/>
        </w:rPr>
      </w:pPr>
    </w:p>
    <w:p w:rsidR="005B2FF9" w:rsidRPr="005B2FF9" w:rsidRDefault="005B2FF9">
      <w:pPr>
        <w:spacing w:after="80"/>
        <w:rPr>
          <w:rFonts w:ascii="Times New Roman" w:hAnsi="Times New Roman" w:cs="Times New Roman"/>
          <w:sz w:val="24"/>
          <w:szCs w:val="24"/>
        </w:rPr>
      </w:pPr>
    </w:p>
    <w:p w:rsidR="00507089" w:rsidRPr="00D12215" w:rsidRDefault="00507089">
      <w:pPr>
        <w:spacing w:after="60"/>
        <w:rPr>
          <w:rFonts w:ascii="Times New Roman" w:hAnsi="Times New Roman" w:cs="Times New Roman"/>
        </w:rP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2200"/>
        <w:gridCol w:w="1800"/>
        <w:gridCol w:w="1800"/>
      </w:tblGrid>
      <w:tr w:rsidR="00507089" w:rsidRPr="005B2FF9">
        <w:trPr>
          <w:tblHeader/>
        </w:trPr>
        <w:tc>
          <w:tcPr>
            <w:tcW w:w="1600" w:type="dxa"/>
            <w:tcBorders>
              <w:top w:val="single" w:sz="2" w:space="0" w:color="D9D9D9"/>
              <w:left w:val="single" w:sz="2" w:space="0" w:color="D9D9D9"/>
              <w:bottom w:val="single" w:sz="2" w:space="0" w:color="D9D9D9"/>
              <w:right w:val="single" w:sz="2" w:space="0" w:color="D9D9D9"/>
            </w:tcBorders>
            <w:shd w:val="clear" w:color="auto" w:fill="B8923A"/>
            <w:tcMar>
              <w:top w:w="70" w:type="dxa"/>
              <w:left w:w="100" w:type="dxa"/>
              <w:bottom w:w="70" w:type="dxa"/>
              <w:right w:w="100" w:type="dxa"/>
            </w:tcMar>
          </w:tcPr>
          <w:p w:rsidR="00507089" w:rsidRPr="005B2FF9" w:rsidRDefault="005B2FF9">
            <w:pPr>
              <w:rPr>
                <w:rFonts w:ascii="Times New Roman" w:hAnsi="Times New Roman" w:cs="Times New Roman"/>
                <w:sz w:val="20"/>
                <w:szCs w:val="20"/>
              </w:rPr>
            </w:pPr>
            <w:r w:rsidRPr="005B2FF9">
              <w:rPr>
                <w:rFonts w:ascii="Times New Roman" w:hAnsi="Times New Roman" w:cs="Times New Roman"/>
                <w:b/>
                <w:bCs/>
                <w:color w:val="FFFFFF"/>
                <w:sz w:val="20"/>
                <w:szCs w:val="20"/>
              </w:rPr>
              <w:lastRenderedPageBreak/>
              <w:t>Severity</w:t>
            </w:r>
          </w:p>
        </w:tc>
        <w:tc>
          <w:tcPr>
            <w:tcW w:w="2200" w:type="dxa"/>
            <w:tcBorders>
              <w:top w:val="single" w:sz="2" w:space="0" w:color="D9D9D9"/>
              <w:left w:val="single" w:sz="2" w:space="0" w:color="D9D9D9"/>
              <w:bottom w:val="single" w:sz="2" w:space="0" w:color="D9D9D9"/>
              <w:right w:val="single" w:sz="2" w:space="0" w:color="D9D9D9"/>
            </w:tcBorders>
            <w:shd w:val="clear" w:color="auto" w:fill="B8923A"/>
            <w:tcMar>
              <w:top w:w="70" w:type="dxa"/>
              <w:left w:w="100" w:type="dxa"/>
              <w:bottom w:w="70" w:type="dxa"/>
              <w:right w:w="100" w:type="dxa"/>
            </w:tcMar>
          </w:tcPr>
          <w:p w:rsidR="00507089" w:rsidRPr="005B2FF9" w:rsidRDefault="005B2FF9">
            <w:pPr>
              <w:rPr>
                <w:rFonts w:ascii="Times New Roman" w:hAnsi="Times New Roman" w:cs="Times New Roman"/>
                <w:sz w:val="20"/>
                <w:szCs w:val="20"/>
              </w:rPr>
            </w:pPr>
            <w:r w:rsidRPr="005B2FF9">
              <w:rPr>
                <w:rFonts w:ascii="Times New Roman" w:hAnsi="Times New Roman" w:cs="Times New Roman"/>
                <w:b/>
                <w:bCs/>
                <w:color w:val="FFFFFF"/>
                <w:sz w:val="20"/>
                <w:szCs w:val="20"/>
              </w:rPr>
              <w:t>Description</w:t>
            </w:r>
          </w:p>
        </w:tc>
        <w:tc>
          <w:tcPr>
            <w:tcW w:w="2200" w:type="dxa"/>
            <w:tcBorders>
              <w:top w:val="single" w:sz="2" w:space="0" w:color="D9D9D9"/>
              <w:left w:val="single" w:sz="2" w:space="0" w:color="D9D9D9"/>
              <w:bottom w:val="single" w:sz="2" w:space="0" w:color="D9D9D9"/>
              <w:right w:val="single" w:sz="2" w:space="0" w:color="D9D9D9"/>
            </w:tcBorders>
            <w:shd w:val="clear" w:color="auto" w:fill="B8923A"/>
            <w:tcMar>
              <w:top w:w="70" w:type="dxa"/>
              <w:left w:w="100" w:type="dxa"/>
              <w:bottom w:w="70" w:type="dxa"/>
              <w:right w:w="100" w:type="dxa"/>
            </w:tcMar>
          </w:tcPr>
          <w:p w:rsidR="00507089" w:rsidRPr="005B2FF9" w:rsidRDefault="005B2FF9">
            <w:pPr>
              <w:rPr>
                <w:rFonts w:ascii="Times New Roman" w:hAnsi="Times New Roman" w:cs="Times New Roman"/>
                <w:sz w:val="20"/>
                <w:szCs w:val="20"/>
              </w:rPr>
            </w:pPr>
            <w:r w:rsidRPr="005B2FF9">
              <w:rPr>
                <w:rFonts w:ascii="Times New Roman" w:hAnsi="Times New Roman" w:cs="Times New Roman"/>
                <w:b/>
                <w:bCs/>
                <w:color w:val="FFFFFF"/>
                <w:sz w:val="20"/>
                <w:szCs w:val="20"/>
              </w:rPr>
              <w:t>Example</w:t>
            </w:r>
          </w:p>
        </w:tc>
        <w:tc>
          <w:tcPr>
            <w:tcW w:w="1800" w:type="dxa"/>
            <w:tcBorders>
              <w:top w:val="single" w:sz="2" w:space="0" w:color="D9D9D9"/>
              <w:left w:val="single" w:sz="2" w:space="0" w:color="D9D9D9"/>
              <w:bottom w:val="single" w:sz="2" w:space="0" w:color="D9D9D9"/>
              <w:right w:val="single" w:sz="2" w:space="0" w:color="D9D9D9"/>
            </w:tcBorders>
            <w:shd w:val="clear" w:color="auto" w:fill="B8923A"/>
            <w:tcMar>
              <w:top w:w="70" w:type="dxa"/>
              <w:left w:w="100" w:type="dxa"/>
              <w:bottom w:w="70" w:type="dxa"/>
              <w:right w:w="100" w:type="dxa"/>
            </w:tcMar>
          </w:tcPr>
          <w:p w:rsidR="00507089" w:rsidRPr="005B2FF9" w:rsidRDefault="005B2FF9">
            <w:pPr>
              <w:rPr>
                <w:rFonts w:ascii="Times New Roman" w:hAnsi="Times New Roman" w:cs="Times New Roman"/>
                <w:sz w:val="20"/>
                <w:szCs w:val="20"/>
              </w:rPr>
            </w:pPr>
            <w:r w:rsidRPr="005B2FF9">
              <w:rPr>
                <w:rFonts w:ascii="Times New Roman" w:hAnsi="Times New Roman" w:cs="Times New Roman"/>
                <w:b/>
                <w:bCs/>
                <w:color w:val="FFFFFF"/>
                <w:sz w:val="20"/>
                <w:szCs w:val="20"/>
              </w:rPr>
              <w:t>Initial Response</w:t>
            </w:r>
          </w:p>
        </w:tc>
        <w:tc>
          <w:tcPr>
            <w:tcW w:w="1800" w:type="dxa"/>
            <w:tcBorders>
              <w:top w:val="single" w:sz="2" w:space="0" w:color="D9D9D9"/>
              <w:left w:val="single" w:sz="2" w:space="0" w:color="D9D9D9"/>
              <w:bottom w:val="single" w:sz="2" w:space="0" w:color="D9D9D9"/>
              <w:right w:val="single" w:sz="2" w:space="0" w:color="D9D9D9"/>
            </w:tcBorders>
            <w:shd w:val="clear" w:color="auto" w:fill="B8923A"/>
            <w:tcMar>
              <w:top w:w="70" w:type="dxa"/>
              <w:left w:w="100" w:type="dxa"/>
              <w:bottom w:w="70" w:type="dxa"/>
              <w:right w:w="100" w:type="dxa"/>
            </w:tcMar>
          </w:tcPr>
          <w:p w:rsidR="00507089" w:rsidRPr="005B2FF9" w:rsidRDefault="005B2FF9">
            <w:pPr>
              <w:rPr>
                <w:rFonts w:ascii="Times New Roman" w:hAnsi="Times New Roman" w:cs="Times New Roman"/>
                <w:sz w:val="20"/>
                <w:szCs w:val="20"/>
              </w:rPr>
            </w:pPr>
            <w:r w:rsidRPr="005B2FF9">
              <w:rPr>
                <w:rFonts w:ascii="Times New Roman" w:hAnsi="Times New Roman" w:cs="Times New Roman"/>
                <w:b/>
                <w:bCs/>
                <w:color w:val="FFFFFF"/>
                <w:sz w:val="20"/>
                <w:szCs w:val="20"/>
              </w:rPr>
              <w:t>ISMS Lead Notification</w:t>
            </w:r>
          </w:p>
        </w:tc>
      </w:tr>
      <w:tr w:rsidR="00507089" w:rsidRPr="005B2FF9">
        <w:tc>
          <w:tcPr>
            <w:tcW w:w="1600" w:type="dxa"/>
            <w:tcBorders>
              <w:top w:val="single" w:sz="2" w:space="0" w:color="D9D9D9"/>
              <w:left w:val="single" w:sz="2" w:space="0" w:color="D9D9D9"/>
              <w:bottom w:val="single" w:sz="2" w:space="0" w:color="D9D9D9"/>
              <w:right w:val="single" w:sz="2" w:space="0" w:color="D9D9D9"/>
            </w:tcBorders>
            <w:shd w:val="clear" w:color="auto" w:fill="F3E5F5"/>
            <w:tcMar>
              <w:top w:w="70" w:type="dxa"/>
              <w:left w:w="100" w:type="dxa"/>
              <w:bottom w:w="70" w:type="dxa"/>
              <w:right w:w="100" w:type="dxa"/>
            </w:tcMar>
          </w:tcPr>
          <w:p w:rsidR="00507089" w:rsidRPr="005B2FF9" w:rsidRDefault="005B2FF9">
            <w:pPr>
              <w:rPr>
                <w:rFonts w:ascii="Times New Roman" w:hAnsi="Times New Roman" w:cs="Times New Roman"/>
                <w:sz w:val="20"/>
                <w:szCs w:val="20"/>
              </w:rPr>
            </w:pPr>
            <w:r w:rsidRPr="005B2FF9">
              <w:rPr>
                <w:rFonts w:ascii="Times New Roman" w:hAnsi="Times New Roman" w:cs="Times New Roman"/>
                <w:b/>
                <w:bCs/>
                <w:color w:val="7B1FA2"/>
                <w:sz w:val="20"/>
                <w:szCs w:val="20"/>
              </w:rPr>
              <w:t>Critical</w:t>
            </w:r>
          </w:p>
        </w:tc>
        <w:tc>
          <w:tcPr>
            <w:tcW w:w="220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00" w:type="dxa"/>
              <w:bottom w:w="70" w:type="dxa"/>
              <w:right w:w="100" w:type="dxa"/>
            </w:tcMar>
          </w:tcPr>
          <w:p w:rsidR="00507089" w:rsidRPr="005B2FF9" w:rsidRDefault="005B2FF9">
            <w:pPr>
              <w:rPr>
                <w:rFonts w:ascii="Times New Roman" w:hAnsi="Times New Roman" w:cs="Times New Roman"/>
                <w:sz w:val="20"/>
                <w:szCs w:val="20"/>
              </w:rPr>
            </w:pPr>
            <w:r w:rsidRPr="005B2FF9">
              <w:rPr>
                <w:rFonts w:ascii="Times New Roman" w:hAnsi="Times New Roman" w:cs="Times New Roman"/>
                <w:sz w:val="20"/>
                <w:szCs w:val="20"/>
              </w:rPr>
              <w:t>Widespread or catastrophic impact — mass data breach, ransomware, complete platform unavailability</w:t>
            </w:r>
          </w:p>
        </w:tc>
        <w:tc>
          <w:tcPr>
            <w:tcW w:w="220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00" w:type="dxa"/>
              <w:bottom w:w="70" w:type="dxa"/>
              <w:right w:w="100" w:type="dxa"/>
            </w:tcMar>
          </w:tcPr>
          <w:p w:rsidR="00507089" w:rsidRPr="005B2FF9" w:rsidRDefault="005B2FF9">
            <w:pPr>
              <w:rPr>
                <w:rFonts w:ascii="Times New Roman" w:hAnsi="Times New Roman" w:cs="Times New Roman"/>
                <w:sz w:val="20"/>
                <w:szCs w:val="20"/>
              </w:rPr>
            </w:pPr>
            <w:r w:rsidRPr="005B2FF9">
              <w:rPr>
                <w:rFonts w:ascii="Times New Roman" w:hAnsi="Times New Roman" w:cs="Times New Roman"/>
                <w:sz w:val="20"/>
                <w:szCs w:val="20"/>
              </w:rPr>
              <w:t>Ransomware encrypting production AWS environment</w:t>
            </w:r>
          </w:p>
        </w:tc>
        <w:tc>
          <w:tcPr>
            <w:tcW w:w="180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00" w:type="dxa"/>
              <w:bottom w:w="70" w:type="dxa"/>
              <w:right w:w="100" w:type="dxa"/>
            </w:tcMar>
          </w:tcPr>
          <w:p w:rsidR="00507089" w:rsidRPr="005B2FF9" w:rsidRDefault="005B2FF9">
            <w:pPr>
              <w:rPr>
                <w:rFonts w:ascii="Times New Roman" w:hAnsi="Times New Roman" w:cs="Times New Roman"/>
                <w:sz w:val="20"/>
                <w:szCs w:val="20"/>
              </w:rPr>
            </w:pPr>
            <w:r w:rsidRPr="005B2FF9">
              <w:rPr>
                <w:rFonts w:ascii="Times New Roman" w:hAnsi="Times New Roman" w:cs="Times New Roman"/>
                <w:sz w:val="20"/>
                <w:szCs w:val="20"/>
              </w:rPr>
              <w:t>Contain within 1 hour</w:t>
            </w:r>
          </w:p>
        </w:tc>
        <w:tc>
          <w:tcPr>
            <w:tcW w:w="180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00" w:type="dxa"/>
              <w:bottom w:w="70" w:type="dxa"/>
              <w:right w:w="100" w:type="dxa"/>
            </w:tcMar>
          </w:tcPr>
          <w:p w:rsidR="00507089" w:rsidRPr="005B2FF9" w:rsidRDefault="005B2FF9">
            <w:pPr>
              <w:rPr>
                <w:rFonts w:ascii="Times New Roman" w:hAnsi="Times New Roman" w:cs="Times New Roman"/>
                <w:sz w:val="20"/>
                <w:szCs w:val="20"/>
              </w:rPr>
            </w:pPr>
            <w:r w:rsidRPr="005B2FF9">
              <w:rPr>
                <w:rFonts w:ascii="Times New Roman" w:hAnsi="Times New Roman" w:cs="Times New Roman"/>
                <w:sz w:val="20"/>
                <w:szCs w:val="20"/>
              </w:rPr>
              <w:t>Immediately (≤30 mins)</w:t>
            </w:r>
          </w:p>
        </w:tc>
      </w:tr>
      <w:tr w:rsidR="00507089" w:rsidRPr="005B2FF9">
        <w:tc>
          <w:tcPr>
            <w:tcW w:w="1600" w:type="dxa"/>
            <w:tcBorders>
              <w:top w:val="single" w:sz="2" w:space="0" w:color="D9D9D9"/>
              <w:left w:val="single" w:sz="2" w:space="0" w:color="D9D9D9"/>
              <w:bottom w:val="single" w:sz="2" w:space="0" w:color="D9D9D9"/>
              <w:right w:val="single" w:sz="2" w:space="0" w:color="D9D9D9"/>
            </w:tcBorders>
            <w:shd w:val="clear" w:color="auto" w:fill="F5E0E0"/>
            <w:tcMar>
              <w:top w:w="70" w:type="dxa"/>
              <w:left w:w="100" w:type="dxa"/>
              <w:bottom w:w="70" w:type="dxa"/>
              <w:right w:w="100" w:type="dxa"/>
            </w:tcMar>
          </w:tcPr>
          <w:p w:rsidR="00507089" w:rsidRPr="005B2FF9" w:rsidRDefault="005B2FF9">
            <w:pPr>
              <w:rPr>
                <w:rFonts w:ascii="Times New Roman" w:hAnsi="Times New Roman" w:cs="Times New Roman"/>
                <w:sz w:val="20"/>
                <w:szCs w:val="20"/>
              </w:rPr>
            </w:pPr>
            <w:r w:rsidRPr="005B2FF9">
              <w:rPr>
                <w:rFonts w:ascii="Times New Roman" w:hAnsi="Times New Roman" w:cs="Times New Roman"/>
                <w:b/>
                <w:bCs/>
                <w:color w:val="C62828"/>
                <w:sz w:val="20"/>
                <w:szCs w:val="20"/>
              </w:rPr>
              <w:t>High</w:t>
            </w:r>
          </w:p>
        </w:tc>
        <w:tc>
          <w:tcPr>
            <w:tcW w:w="2200" w:type="dxa"/>
            <w:tcBorders>
              <w:top w:val="single" w:sz="2" w:space="0" w:color="D9D9D9"/>
              <w:left w:val="single" w:sz="2" w:space="0" w:color="D9D9D9"/>
              <w:bottom w:val="single" w:sz="2" w:space="0" w:color="D9D9D9"/>
              <w:right w:val="single" w:sz="2" w:space="0" w:color="D9D9D9"/>
            </w:tcBorders>
            <w:shd w:val="clear" w:color="auto" w:fill="F2F2F2"/>
            <w:tcMar>
              <w:top w:w="70" w:type="dxa"/>
              <w:left w:w="100" w:type="dxa"/>
              <w:bottom w:w="70" w:type="dxa"/>
              <w:right w:w="100" w:type="dxa"/>
            </w:tcMar>
          </w:tcPr>
          <w:p w:rsidR="00507089" w:rsidRPr="005B2FF9" w:rsidRDefault="005B2FF9">
            <w:pPr>
              <w:rPr>
                <w:rFonts w:ascii="Times New Roman" w:hAnsi="Times New Roman" w:cs="Times New Roman"/>
                <w:sz w:val="20"/>
                <w:szCs w:val="20"/>
              </w:rPr>
            </w:pPr>
            <w:r w:rsidRPr="005B2FF9">
              <w:rPr>
                <w:rFonts w:ascii="Times New Roman" w:hAnsi="Times New Roman" w:cs="Times New Roman"/>
                <w:sz w:val="20"/>
                <w:szCs w:val="20"/>
              </w:rPr>
              <w:t>Significant confirmed impact — unauthorized access to systems, material data exposure, major system compromise</w:t>
            </w:r>
          </w:p>
        </w:tc>
        <w:tc>
          <w:tcPr>
            <w:tcW w:w="2200" w:type="dxa"/>
            <w:tcBorders>
              <w:top w:val="single" w:sz="2" w:space="0" w:color="D9D9D9"/>
              <w:left w:val="single" w:sz="2" w:space="0" w:color="D9D9D9"/>
              <w:bottom w:val="single" w:sz="2" w:space="0" w:color="D9D9D9"/>
              <w:right w:val="single" w:sz="2" w:space="0" w:color="D9D9D9"/>
            </w:tcBorders>
            <w:shd w:val="clear" w:color="auto" w:fill="F2F2F2"/>
            <w:tcMar>
              <w:top w:w="70" w:type="dxa"/>
              <w:left w:w="100" w:type="dxa"/>
              <w:bottom w:w="70" w:type="dxa"/>
              <w:right w:w="100" w:type="dxa"/>
            </w:tcMar>
          </w:tcPr>
          <w:p w:rsidR="00507089" w:rsidRPr="005B2FF9" w:rsidRDefault="005B2FF9">
            <w:pPr>
              <w:rPr>
                <w:rFonts w:ascii="Times New Roman" w:hAnsi="Times New Roman" w:cs="Times New Roman"/>
                <w:sz w:val="20"/>
                <w:szCs w:val="20"/>
              </w:rPr>
            </w:pPr>
            <w:r w:rsidRPr="005B2FF9">
              <w:rPr>
                <w:rFonts w:ascii="Times New Roman" w:hAnsi="Times New Roman" w:cs="Times New Roman"/>
                <w:sz w:val="20"/>
                <w:szCs w:val="20"/>
              </w:rPr>
              <w:t>Former employee access to CRM post-exit</w:t>
            </w:r>
          </w:p>
        </w:tc>
        <w:tc>
          <w:tcPr>
            <w:tcW w:w="1800" w:type="dxa"/>
            <w:tcBorders>
              <w:top w:val="single" w:sz="2" w:space="0" w:color="D9D9D9"/>
              <w:left w:val="single" w:sz="2" w:space="0" w:color="D9D9D9"/>
              <w:bottom w:val="single" w:sz="2" w:space="0" w:color="D9D9D9"/>
              <w:right w:val="single" w:sz="2" w:space="0" w:color="D9D9D9"/>
            </w:tcBorders>
            <w:shd w:val="clear" w:color="auto" w:fill="F2F2F2"/>
            <w:tcMar>
              <w:top w:w="70" w:type="dxa"/>
              <w:left w:w="100" w:type="dxa"/>
              <w:bottom w:w="70" w:type="dxa"/>
              <w:right w:w="100" w:type="dxa"/>
            </w:tcMar>
          </w:tcPr>
          <w:p w:rsidR="00507089" w:rsidRPr="005B2FF9" w:rsidRDefault="005B2FF9">
            <w:pPr>
              <w:rPr>
                <w:rFonts w:ascii="Times New Roman" w:hAnsi="Times New Roman" w:cs="Times New Roman"/>
                <w:sz w:val="20"/>
                <w:szCs w:val="20"/>
              </w:rPr>
            </w:pPr>
            <w:r w:rsidRPr="005B2FF9">
              <w:rPr>
                <w:rFonts w:ascii="Times New Roman" w:hAnsi="Times New Roman" w:cs="Times New Roman"/>
                <w:sz w:val="20"/>
                <w:szCs w:val="20"/>
              </w:rPr>
              <w:t>Contain within 4 hours</w:t>
            </w:r>
          </w:p>
        </w:tc>
        <w:tc>
          <w:tcPr>
            <w:tcW w:w="1800" w:type="dxa"/>
            <w:tcBorders>
              <w:top w:val="single" w:sz="2" w:space="0" w:color="D9D9D9"/>
              <w:left w:val="single" w:sz="2" w:space="0" w:color="D9D9D9"/>
              <w:bottom w:val="single" w:sz="2" w:space="0" w:color="D9D9D9"/>
              <w:right w:val="single" w:sz="2" w:space="0" w:color="D9D9D9"/>
            </w:tcBorders>
            <w:shd w:val="clear" w:color="auto" w:fill="F2F2F2"/>
            <w:tcMar>
              <w:top w:w="70" w:type="dxa"/>
              <w:left w:w="100" w:type="dxa"/>
              <w:bottom w:w="70" w:type="dxa"/>
              <w:right w:w="100" w:type="dxa"/>
            </w:tcMar>
          </w:tcPr>
          <w:p w:rsidR="00507089" w:rsidRPr="005B2FF9" w:rsidRDefault="005B2FF9">
            <w:pPr>
              <w:rPr>
                <w:rFonts w:ascii="Times New Roman" w:hAnsi="Times New Roman" w:cs="Times New Roman"/>
                <w:sz w:val="20"/>
                <w:szCs w:val="20"/>
              </w:rPr>
            </w:pPr>
            <w:r w:rsidRPr="005B2FF9">
              <w:rPr>
                <w:rFonts w:ascii="Times New Roman" w:hAnsi="Times New Roman" w:cs="Times New Roman"/>
                <w:sz w:val="20"/>
                <w:szCs w:val="20"/>
              </w:rPr>
              <w:t>Within 2 hours</w:t>
            </w:r>
          </w:p>
        </w:tc>
      </w:tr>
      <w:tr w:rsidR="00507089" w:rsidRPr="005B2FF9">
        <w:tc>
          <w:tcPr>
            <w:tcW w:w="1600" w:type="dxa"/>
            <w:tcBorders>
              <w:top w:val="single" w:sz="2" w:space="0" w:color="D9D9D9"/>
              <w:left w:val="single" w:sz="2" w:space="0" w:color="D9D9D9"/>
              <w:bottom w:val="single" w:sz="2" w:space="0" w:color="D9D9D9"/>
              <w:right w:val="single" w:sz="2" w:space="0" w:color="D9D9D9"/>
            </w:tcBorders>
            <w:shd w:val="clear" w:color="auto" w:fill="FBF1DC"/>
            <w:tcMar>
              <w:top w:w="70" w:type="dxa"/>
              <w:left w:w="100" w:type="dxa"/>
              <w:bottom w:w="70" w:type="dxa"/>
              <w:right w:w="100" w:type="dxa"/>
            </w:tcMar>
          </w:tcPr>
          <w:p w:rsidR="00507089" w:rsidRPr="005B2FF9" w:rsidRDefault="005B2FF9">
            <w:pPr>
              <w:rPr>
                <w:rFonts w:ascii="Times New Roman" w:hAnsi="Times New Roman" w:cs="Times New Roman"/>
                <w:sz w:val="20"/>
                <w:szCs w:val="20"/>
              </w:rPr>
            </w:pPr>
            <w:r w:rsidRPr="005B2FF9">
              <w:rPr>
                <w:rFonts w:ascii="Times New Roman" w:hAnsi="Times New Roman" w:cs="Times New Roman"/>
                <w:b/>
                <w:bCs/>
                <w:color w:val="E65100"/>
                <w:sz w:val="20"/>
                <w:szCs w:val="20"/>
              </w:rPr>
              <w:t>Medium</w:t>
            </w:r>
          </w:p>
        </w:tc>
        <w:tc>
          <w:tcPr>
            <w:tcW w:w="220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00" w:type="dxa"/>
              <w:bottom w:w="70" w:type="dxa"/>
              <w:right w:w="100" w:type="dxa"/>
            </w:tcMar>
          </w:tcPr>
          <w:p w:rsidR="00507089" w:rsidRPr="005B2FF9" w:rsidRDefault="005B2FF9">
            <w:pPr>
              <w:rPr>
                <w:rFonts w:ascii="Times New Roman" w:hAnsi="Times New Roman" w:cs="Times New Roman"/>
                <w:sz w:val="20"/>
                <w:szCs w:val="20"/>
              </w:rPr>
            </w:pPr>
            <w:r w:rsidRPr="005B2FF9">
              <w:rPr>
                <w:rFonts w:ascii="Times New Roman" w:hAnsi="Times New Roman" w:cs="Times New Roman"/>
                <w:sz w:val="20"/>
                <w:szCs w:val="20"/>
              </w:rPr>
              <w:t>Moderate impact — suspected unauthorized access, minor data exposure, system degradation</w:t>
            </w:r>
          </w:p>
        </w:tc>
        <w:tc>
          <w:tcPr>
            <w:tcW w:w="220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00" w:type="dxa"/>
              <w:bottom w:w="70" w:type="dxa"/>
              <w:right w:w="100" w:type="dxa"/>
            </w:tcMar>
          </w:tcPr>
          <w:p w:rsidR="00507089" w:rsidRPr="005B2FF9" w:rsidRDefault="005B2FF9">
            <w:pPr>
              <w:rPr>
                <w:rFonts w:ascii="Times New Roman" w:hAnsi="Times New Roman" w:cs="Times New Roman"/>
                <w:sz w:val="20"/>
                <w:szCs w:val="20"/>
              </w:rPr>
            </w:pPr>
            <w:r w:rsidRPr="005B2FF9">
              <w:rPr>
                <w:rFonts w:ascii="Times New Roman" w:hAnsi="Times New Roman" w:cs="Times New Roman"/>
                <w:sz w:val="20"/>
                <w:szCs w:val="20"/>
              </w:rPr>
              <w:t>Failed bulk data export attempt</w:t>
            </w:r>
          </w:p>
        </w:tc>
        <w:tc>
          <w:tcPr>
            <w:tcW w:w="180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00" w:type="dxa"/>
              <w:bottom w:w="70" w:type="dxa"/>
              <w:right w:w="100" w:type="dxa"/>
            </w:tcMar>
          </w:tcPr>
          <w:p w:rsidR="00507089" w:rsidRPr="005B2FF9" w:rsidRDefault="005B2FF9">
            <w:pPr>
              <w:rPr>
                <w:rFonts w:ascii="Times New Roman" w:hAnsi="Times New Roman" w:cs="Times New Roman"/>
                <w:sz w:val="20"/>
                <w:szCs w:val="20"/>
              </w:rPr>
            </w:pPr>
            <w:r w:rsidRPr="005B2FF9">
              <w:rPr>
                <w:rFonts w:ascii="Times New Roman" w:hAnsi="Times New Roman" w:cs="Times New Roman"/>
                <w:sz w:val="20"/>
                <w:szCs w:val="20"/>
              </w:rPr>
              <w:t>Contain within 24 hours</w:t>
            </w:r>
          </w:p>
        </w:tc>
        <w:tc>
          <w:tcPr>
            <w:tcW w:w="1800" w:type="dxa"/>
            <w:tcBorders>
              <w:top w:val="single" w:sz="2" w:space="0" w:color="D9D9D9"/>
              <w:left w:val="single" w:sz="2" w:space="0" w:color="D9D9D9"/>
              <w:bottom w:val="single" w:sz="2" w:space="0" w:color="D9D9D9"/>
              <w:right w:val="single" w:sz="2" w:space="0" w:color="D9D9D9"/>
            </w:tcBorders>
            <w:shd w:val="clear" w:color="auto" w:fill="FFFFFF"/>
            <w:tcMar>
              <w:top w:w="70" w:type="dxa"/>
              <w:left w:w="100" w:type="dxa"/>
              <w:bottom w:w="70" w:type="dxa"/>
              <w:right w:w="100" w:type="dxa"/>
            </w:tcMar>
          </w:tcPr>
          <w:p w:rsidR="00507089" w:rsidRPr="005B2FF9" w:rsidRDefault="005B2FF9">
            <w:pPr>
              <w:rPr>
                <w:rFonts w:ascii="Times New Roman" w:hAnsi="Times New Roman" w:cs="Times New Roman"/>
                <w:sz w:val="20"/>
                <w:szCs w:val="20"/>
              </w:rPr>
            </w:pPr>
            <w:r w:rsidRPr="005B2FF9">
              <w:rPr>
                <w:rFonts w:ascii="Times New Roman" w:hAnsi="Times New Roman" w:cs="Times New Roman"/>
                <w:sz w:val="20"/>
                <w:szCs w:val="20"/>
              </w:rPr>
              <w:t>Within 8 hours</w:t>
            </w:r>
          </w:p>
        </w:tc>
      </w:tr>
      <w:tr w:rsidR="00507089" w:rsidRPr="005B2FF9">
        <w:tc>
          <w:tcPr>
            <w:tcW w:w="1600" w:type="dxa"/>
            <w:tcBorders>
              <w:top w:val="single" w:sz="2" w:space="0" w:color="D9D9D9"/>
              <w:left w:val="single" w:sz="2" w:space="0" w:color="D9D9D9"/>
              <w:bottom w:val="single" w:sz="2" w:space="0" w:color="D9D9D9"/>
              <w:right w:val="single" w:sz="2" w:space="0" w:color="D9D9D9"/>
            </w:tcBorders>
            <w:shd w:val="clear" w:color="auto" w:fill="D6EAD6"/>
            <w:tcMar>
              <w:top w:w="70" w:type="dxa"/>
              <w:left w:w="100" w:type="dxa"/>
              <w:bottom w:w="70" w:type="dxa"/>
              <w:right w:w="100" w:type="dxa"/>
            </w:tcMar>
          </w:tcPr>
          <w:p w:rsidR="00507089" w:rsidRPr="005B2FF9" w:rsidRDefault="005B2FF9">
            <w:pPr>
              <w:rPr>
                <w:rFonts w:ascii="Times New Roman" w:hAnsi="Times New Roman" w:cs="Times New Roman"/>
                <w:sz w:val="20"/>
                <w:szCs w:val="20"/>
              </w:rPr>
            </w:pPr>
            <w:r w:rsidRPr="005B2FF9">
              <w:rPr>
                <w:rFonts w:ascii="Times New Roman" w:hAnsi="Times New Roman" w:cs="Times New Roman"/>
                <w:b/>
                <w:bCs/>
                <w:color w:val="2E7D32"/>
                <w:sz w:val="20"/>
                <w:szCs w:val="20"/>
              </w:rPr>
              <w:t>Low</w:t>
            </w:r>
          </w:p>
        </w:tc>
        <w:tc>
          <w:tcPr>
            <w:tcW w:w="2200" w:type="dxa"/>
            <w:tcBorders>
              <w:top w:val="single" w:sz="2" w:space="0" w:color="D9D9D9"/>
              <w:left w:val="single" w:sz="2" w:space="0" w:color="D9D9D9"/>
              <w:bottom w:val="single" w:sz="2" w:space="0" w:color="D9D9D9"/>
              <w:right w:val="single" w:sz="2" w:space="0" w:color="D9D9D9"/>
            </w:tcBorders>
            <w:shd w:val="clear" w:color="auto" w:fill="F2F2F2"/>
            <w:tcMar>
              <w:top w:w="70" w:type="dxa"/>
              <w:left w:w="100" w:type="dxa"/>
              <w:bottom w:w="70" w:type="dxa"/>
              <w:right w:w="100" w:type="dxa"/>
            </w:tcMar>
          </w:tcPr>
          <w:p w:rsidR="00507089" w:rsidRPr="005B2FF9" w:rsidRDefault="005B2FF9">
            <w:pPr>
              <w:rPr>
                <w:rFonts w:ascii="Times New Roman" w:hAnsi="Times New Roman" w:cs="Times New Roman"/>
                <w:sz w:val="20"/>
                <w:szCs w:val="20"/>
              </w:rPr>
            </w:pPr>
            <w:r w:rsidRPr="005B2FF9">
              <w:rPr>
                <w:rFonts w:ascii="Times New Roman" w:hAnsi="Times New Roman" w:cs="Times New Roman"/>
                <w:sz w:val="20"/>
                <w:szCs w:val="20"/>
              </w:rPr>
              <w:t>Minor impact — policy violation, lost device, failed phishing attempt with no compromise</w:t>
            </w:r>
          </w:p>
        </w:tc>
        <w:tc>
          <w:tcPr>
            <w:tcW w:w="2200" w:type="dxa"/>
            <w:tcBorders>
              <w:top w:val="single" w:sz="2" w:space="0" w:color="D9D9D9"/>
              <w:left w:val="single" w:sz="2" w:space="0" w:color="D9D9D9"/>
              <w:bottom w:val="single" w:sz="2" w:space="0" w:color="D9D9D9"/>
              <w:right w:val="single" w:sz="2" w:space="0" w:color="D9D9D9"/>
            </w:tcBorders>
            <w:shd w:val="clear" w:color="auto" w:fill="F2F2F2"/>
            <w:tcMar>
              <w:top w:w="70" w:type="dxa"/>
              <w:left w:w="100" w:type="dxa"/>
              <w:bottom w:w="70" w:type="dxa"/>
              <w:right w:w="100" w:type="dxa"/>
            </w:tcMar>
          </w:tcPr>
          <w:p w:rsidR="00507089" w:rsidRPr="005B2FF9" w:rsidRDefault="005B2FF9">
            <w:pPr>
              <w:rPr>
                <w:rFonts w:ascii="Times New Roman" w:hAnsi="Times New Roman" w:cs="Times New Roman"/>
                <w:sz w:val="20"/>
                <w:szCs w:val="20"/>
              </w:rPr>
            </w:pPr>
            <w:r w:rsidRPr="005B2FF9">
              <w:rPr>
                <w:rFonts w:ascii="Times New Roman" w:hAnsi="Times New Roman" w:cs="Times New Roman"/>
                <w:sz w:val="20"/>
                <w:szCs w:val="20"/>
              </w:rPr>
              <w:t>Staff member clicking a phishing link (no credential entered)</w:t>
            </w:r>
          </w:p>
        </w:tc>
        <w:tc>
          <w:tcPr>
            <w:tcW w:w="1800" w:type="dxa"/>
            <w:tcBorders>
              <w:top w:val="single" w:sz="2" w:space="0" w:color="D9D9D9"/>
              <w:left w:val="single" w:sz="2" w:space="0" w:color="D9D9D9"/>
              <w:bottom w:val="single" w:sz="2" w:space="0" w:color="D9D9D9"/>
              <w:right w:val="single" w:sz="2" w:space="0" w:color="D9D9D9"/>
            </w:tcBorders>
            <w:shd w:val="clear" w:color="auto" w:fill="F2F2F2"/>
            <w:tcMar>
              <w:top w:w="70" w:type="dxa"/>
              <w:left w:w="100" w:type="dxa"/>
              <w:bottom w:w="70" w:type="dxa"/>
              <w:right w:w="100" w:type="dxa"/>
            </w:tcMar>
          </w:tcPr>
          <w:p w:rsidR="00507089" w:rsidRPr="005B2FF9" w:rsidRDefault="005B2FF9">
            <w:pPr>
              <w:rPr>
                <w:rFonts w:ascii="Times New Roman" w:hAnsi="Times New Roman" w:cs="Times New Roman"/>
                <w:sz w:val="20"/>
                <w:szCs w:val="20"/>
              </w:rPr>
            </w:pPr>
            <w:r w:rsidRPr="005B2FF9">
              <w:rPr>
                <w:rFonts w:ascii="Times New Roman" w:hAnsi="Times New Roman" w:cs="Times New Roman"/>
                <w:sz w:val="20"/>
                <w:szCs w:val="20"/>
              </w:rPr>
              <w:t>Document within 5 days</w:t>
            </w:r>
          </w:p>
        </w:tc>
        <w:tc>
          <w:tcPr>
            <w:tcW w:w="1800" w:type="dxa"/>
            <w:tcBorders>
              <w:top w:val="single" w:sz="2" w:space="0" w:color="D9D9D9"/>
              <w:left w:val="single" w:sz="2" w:space="0" w:color="D9D9D9"/>
              <w:bottom w:val="single" w:sz="2" w:space="0" w:color="D9D9D9"/>
              <w:right w:val="single" w:sz="2" w:space="0" w:color="D9D9D9"/>
            </w:tcBorders>
            <w:shd w:val="clear" w:color="auto" w:fill="F2F2F2"/>
            <w:tcMar>
              <w:top w:w="70" w:type="dxa"/>
              <w:left w:w="100" w:type="dxa"/>
              <w:bottom w:w="70" w:type="dxa"/>
              <w:right w:w="100" w:type="dxa"/>
            </w:tcMar>
          </w:tcPr>
          <w:p w:rsidR="00507089" w:rsidRPr="005B2FF9" w:rsidRDefault="005B2FF9">
            <w:pPr>
              <w:rPr>
                <w:rFonts w:ascii="Times New Roman" w:hAnsi="Times New Roman" w:cs="Times New Roman"/>
                <w:sz w:val="20"/>
                <w:szCs w:val="20"/>
              </w:rPr>
            </w:pPr>
            <w:r w:rsidRPr="005B2FF9">
              <w:rPr>
                <w:rFonts w:ascii="Times New Roman" w:hAnsi="Times New Roman" w:cs="Times New Roman"/>
                <w:sz w:val="20"/>
                <w:szCs w:val="20"/>
              </w:rPr>
              <w:t>Within 2 business days</w:t>
            </w:r>
          </w:p>
        </w:tc>
      </w:tr>
    </w:tbl>
    <w:p w:rsidR="00507089" w:rsidRPr="00D12215" w:rsidRDefault="00507089">
      <w:pPr>
        <w:spacing w:after="60"/>
        <w:rPr>
          <w:rFonts w:ascii="Times New Roman" w:hAnsi="Times New Roman" w:cs="Times New Roman"/>
        </w:rPr>
      </w:pPr>
    </w:p>
    <w:p w:rsidR="00507089" w:rsidRPr="00D12215" w:rsidRDefault="005B2FF9">
      <w:pPr>
        <w:pBdr>
          <w:bottom w:val="single" w:sz="6" w:space="0" w:color="B8923A"/>
          <w:right w:val="single" w:sz="22" w:space="0" w:color="1F3864"/>
        </w:pBdr>
        <w:spacing w:before="260" w:after="70"/>
        <w:rPr>
          <w:rFonts w:ascii="Times New Roman" w:hAnsi="Times New Roman" w:cs="Times New Roman"/>
        </w:rPr>
      </w:pPr>
      <w:r w:rsidRPr="00D12215">
        <w:rPr>
          <w:rFonts w:ascii="Times New Roman" w:hAnsi="Times New Roman" w:cs="Times New Roman"/>
          <w:b/>
          <w:bCs/>
          <w:color w:val="B8923A"/>
          <w:sz w:val="21"/>
          <w:szCs w:val="21"/>
        </w:rPr>
        <w:t xml:space="preserve">5.  </w:t>
      </w:r>
      <w:r w:rsidRPr="00D12215">
        <w:rPr>
          <w:rFonts w:ascii="Times New Roman" w:hAnsi="Times New Roman" w:cs="Times New Roman"/>
          <w:b/>
          <w:bCs/>
          <w:color w:val="1F3864"/>
          <w:sz w:val="21"/>
          <w:szCs w:val="21"/>
        </w:rPr>
        <w:t>ROLES AND RESPONSIBILITIES</w:t>
      </w:r>
    </w:p>
    <w:p w:rsidR="00507089" w:rsidRPr="0012555E" w:rsidRDefault="005B2FF9">
      <w:pPr>
        <w:pBdr>
          <w:bottom w:val="single" w:sz="4" w:space="0" w:color="B8923A"/>
        </w:pBdr>
        <w:spacing w:before="160" w:after="50"/>
        <w:rPr>
          <w:rFonts w:ascii="Times New Roman" w:hAnsi="Times New Roman" w:cs="Times New Roman"/>
          <w:sz w:val="24"/>
          <w:szCs w:val="24"/>
        </w:rPr>
      </w:pPr>
      <w:r w:rsidRPr="0012555E">
        <w:rPr>
          <w:rFonts w:ascii="Times New Roman" w:hAnsi="Times New Roman" w:cs="Times New Roman"/>
          <w:b/>
          <w:bCs/>
          <w:color w:val="1F3864"/>
          <w:sz w:val="24"/>
          <w:szCs w:val="24"/>
        </w:rPr>
        <w:t>5.1 Incident Manager</w:t>
      </w:r>
    </w:p>
    <w:p w:rsidR="00507089" w:rsidRPr="0012555E" w:rsidRDefault="005B2FF9" w:rsidP="0012555E">
      <w:pPr>
        <w:spacing w:after="80"/>
        <w:jc w:val="both"/>
        <w:rPr>
          <w:rFonts w:ascii="Times New Roman" w:hAnsi="Times New Roman" w:cs="Times New Roman"/>
          <w:sz w:val="24"/>
          <w:szCs w:val="24"/>
        </w:rPr>
      </w:pPr>
      <w:r w:rsidRPr="0012555E">
        <w:rPr>
          <w:rFonts w:ascii="Times New Roman" w:hAnsi="Times New Roman" w:cs="Times New Roman"/>
          <w:sz w:val="24"/>
          <w:szCs w:val="24"/>
        </w:rPr>
        <w:t>The ISMS Lead (Head of Risk &amp; Compliance) serves as Incident Manager for all High and Critical incidents. For Medium and Low incidents, the Incident Manager role may be delegated to the Head of Engineering. The Incident Manager is responsible for: declaring an incident, coordinating the response, making escalation decisions, approving external communications, and ensuring the post-incident review is conducted.</w:t>
      </w:r>
    </w:p>
    <w:p w:rsidR="00507089" w:rsidRPr="0012555E" w:rsidRDefault="006300EC">
      <w:pPr>
        <w:pBdr>
          <w:bottom w:val="single" w:sz="4" w:space="0" w:color="B8923A"/>
        </w:pBdr>
        <w:spacing w:before="160" w:after="50"/>
        <w:rPr>
          <w:rFonts w:ascii="Times New Roman" w:hAnsi="Times New Roman" w:cs="Times New Roman"/>
          <w:sz w:val="24"/>
          <w:szCs w:val="24"/>
        </w:rPr>
      </w:pPr>
      <w:r w:rsidRPr="0012555E">
        <w:rPr>
          <w:rFonts w:ascii="Times New Roman" w:hAnsi="Times New Roman" w:cs="Times New Roman"/>
          <w:b/>
          <w:bCs/>
          <w:color w:val="1F3864"/>
          <w:sz w:val="24"/>
          <w:szCs w:val="24"/>
        </w:rPr>
        <w:t>5.2 Technical</w:t>
      </w:r>
      <w:r w:rsidR="005B2FF9" w:rsidRPr="0012555E">
        <w:rPr>
          <w:rFonts w:ascii="Times New Roman" w:hAnsi="Times New Roman" w:cs="Times New Roman"/>
          <w:b/>
          <w:bCs/>
          <w:color w:val="1F3864"/>
          <w:sz w:val="24"/>
          <w:szCs w:val="24"/>
        </w:rPr>
        <w:t xml:space="preserve"> Responders</w:t>
      </w:r>
    </w:p>
    <w:p w:rsidR="00507089" w:rsidRPr="0012555E" w:rsidRDefault="005B2FF9" w:rsidP="006300EC">
      <w:pPr>
        <w:spacing w:after="80"/>
        <w:jc w:val="both"/>
        <w:rPr>
          <w:rFonts w:ascii="Times New Roman" w:hAnsi="Times New Roman" w:cs="Times New Roman"/>
          <w:sz w:val="24"/>
          <w:szCs w:val="24"/>
        </w:rPr>
      </w:pPr>
      <w:r w:rsidRPr="0012555E">
        <w:rPr>
          <w:rFonts w:ascii="Times New Roman" w:hAnsi="Times New Roman" w:cs="Times New Roman"/>
          <w:sz w:val="24"/>
          <w:szCs w:val="24"/>
        </w:rPr>
        <w:t>The Head of Engineering and the Engineering team are responsible for: technical containment and eradication actions, preserving system evidence, restoring affected systems and services, and providing technical briefings to the Incident Manager.</w:t>
      </w:r>
    </w:p>
    <w:p w:rsidR="00507089" w:rsidRPr="0012555E" w:rsidRDefault="006300EC">
      <w:pPr>
        <w:pBdr>
          <w:bottom w:val="single" w:sz="4" w:space="0" w:color="B8923A"/>
        </w:pBdr>
        <w:spacing w:before="160" w:after="50"/>
        <w:rPr>
          <w:rFonts w:ascii="Times New Roman" w:hAnsi="Times New Roman" w:cs="Times New Roman"/>
          <w:sz w:val="24"/>
          <w:szCs w:val="24"/>
        </w:rPr>
      </w:pPr>
      <w:r w:rsidRPr="0012555E">
        <w:rPr>
          <w:rFonts w:ascii="Times New Roman" w:hAnsi="Times New Roman" w:cs="Times New Roman"/>
          <w:b/>
          <w:bCs/>
          <w:color w:val="1F3864"/>
          <w:sz w:val="24"/>
          <w:szCs w:val="24"/>
        </w:rPr>
        <w:t>5.3 Communications</w:t>
      </w:r>
      <w:r w:rsidR="005B2FF9" w:rsidRPr="0012555E">
        <w:rPr>
          <w:rFonts w:ascii="Times New Roman" w:hAnsi="Times New Roman" w:cs="Times New Roman"/>
          <w:b/>
          <w:bCs/>
          <w:color w:val="1F3864"/>
          <w:sz w:val="24"/>
          <w:szCs w:val="24"/>
        </w:rPr>
        <w:t xml:space="preserve"> Lead</w:t>
      </w:r>
    </w:p>
    <w:p w:rsidR="00507089" w:rsidRPr="0012555E" w:rsidRDefault="005B2FF9" w:rsidP="006300EC">
      <w:pPr>
        <w:spacing w:after="80"/>
        <w:jc w:val="both"/>
        <w:rPr>
          <w:rFonts w:ascii="Times New Roman" w:hAnsi="Times New Roman" w:cs="Times New Roman"/>
          <w:sz w:val="24"/>
          <w:szCs w:val="24"/>
        </w:rPr>
      </w:pPr>
      <w:r w:rsidRPr="0012555E">
        <w:rPr>
          <w:rFonts w:ascii="Times New Roman" w:hAnsi="Times New Roman" w:cs="Times New Roman"/>
          <w:sz w:val="24"/>
          <w:szCs w:val="24"/>
        </w:rPr>
        <w:t>The ISMS Lead is responsible for all external communications during an incident, including notifications to the ODPC, CBK, affected customers, and commercial partners. No external communications regarding an incident shall be made without the ISMS Lead's explicit approval.</w:t>
      </w:r>
    </w:p>
    <w:p w:rsidR="00507089" w:rsidRPr="0012555E" w:rsidRDefault="006300EC">
      <w:pPr>
        <w:pBdr>
          <w:bottom w:val="single" w:sz="4" w:space="0" w:color="B8923A"/>
        </w:pBdr>
        <w:spacing w:before="160" w:after="50"/>
        <w:rPr>
          <w:rFonts w:ascii="Times New Roman" w:hAnsi="Times New Roman" w:cs="Times New Roman"/>
          <w:sz w:val="24"/>
          <w:szCs w:val="24"/>
        </w:rPr>
      </w:pPr>
      <w:r w:rsidRPr="0012555E">
        <w:rPr>
          <w:rFonts w:ascii="Times New Roman" w:hAnsi="Times New Roman" w:cs="Times New Roman"/>
          <w:b/>
          <w:bCs/>
          <w:color w:val="1F3864"/>
          <w:sz w:val="24"/>
          <w:szCs w:val="24"/>
        </w:rPr>
        <w:t>5.4 All</w:t>
      </w:r>
      <w:r w:rsidR="005B2FF9" w:rsidRPr="0012555E">
        <w:rPr>
          <w:rFonts w:ascii="Times New Roman" w:hAnsi="Times New Roman" w:cs="Times New Roman"/>
          <w:b/>
          <w:bCs/>
          <w:color w:val="1F3864"/>
          <w:sz w:val="24"/>
          <w:szCs w:val="24"/>
        </w:rPr>
        <w:t xml:space="preserve"> Staff</w:t>
      </w:r>
    </w:p>
    <w:p w:rsidR="00507089" w:rsidRPr="0012555E" w:rsidRDefault="005B2FF9" w:rsidP="006300EC">
      <w:pPr>
        <w:spacing w:after="80"/>
        <w:jc w:val="both"/>
        <w:rPr>
          <w:rFonts w:ascii="Times New Roman" w:hAnsi="Times New Roman" w:cs="Times New Roman"/>
          <w:sz w:val="24"/>
          <w:szCs w:val="24"/>
        </w:rPr>
      </w:pPr>
      <w:r w:rsidRPr="0012555E">
        <w:rPr>
          <w:rFonts w:ascii="Times New Roman" w:hAnsi="Times New Roman" w:cs="Times New Roman"/>
          <w:sz w:val="24"/>
          <w:szCs w:val="24"/>
        </w:rPr>
        <w:t>All staff are responsible for reporting suspected security events promptly through the reporting channel defined in Section 6.1. Staff shall not attempt to investigate or remediate a suspected incident independently.</w:t>
      </w:r>
    </w:p>
    <w:p w:rsidR="00507089" w:rsidRPr="006300EC" w:rsidRDefault="005B2FF9">
      <w:pPr>
        <w:pBdr>
          <w:bottom w:val="single" w:sz="6" w:space="0" w:color="B8923A"/>
          <w:right w:val="single" w:sz="22" w:space="0" w:color="1F3864"/>
        </w:pBdr>
        <w:spacing w:before="260" w:after="70"/>
        <w:rPr>
          <w:rFonts w:ascii="Times New Roman" w:hAnsi="Times New Roman" w:cs="Times New Roman"/>
          <w:sz w:val="24"/>
          <w:szCs w:val="24"/>
        </w:rPr>
      </w:pPr>
      <w:r w:rsidRPr="006300EC">
        <w:rPr>
          <w:rFonts w:ascii="Times New Roman" w:hAnsi="Times New Roman" w:cs="Times New Roman"/>
          <w:b/>
          <w:bCs/>
          <w:color w:val="B8923A"/>
          <w:sz w:val="24"/>
          <w:szCs w:val="24"/>
        </w:rPr>
        <w:t xml:space="preserve">6.  </w:t>
      </w:r>
      <w:r w:rsidRPr="006300EC">
        <w:rPr>
          <w:rFonts w:ascii="Times New Roman" w:hAnsi="Times New Roman" w:cs="Times New Roman"/>
          <w:b/>
          <w:bCs/>
          <w:color w:val="1F3864"/>
          <w:sz w:val="24"/>
          <w:szCs w:val="24"/>
        </w:rPr>
        <w:t>INCIDENT RESPONSE LIFECYCLE</w:t>
      </w:r>
    </w:p>
    <w:p w:rsidR="00507089" w:rsidRPr="006300EC" w:rsidRDefault="005B2FF9">
      <w:pPr>
        <w:pBdr>
          <w:bottom w:val="single" w:sz="4" w:space="0" w:color="B8923A"/>
        </w:pBdr>
        <w:spacing w:before="160" w:after="50"/>
        <w:rPr>
          <w:rFonts w:ascii="Times New Roman" w:hAnsi="Times New Roman" w:cs="Times New Roman"/>
          <w:sz w:val="24"/>
          <w:szCs w:val="24"/>
        </w:rPr>
      </w:pPr>
      <w:proofErr w:type="gramStart"/>
      <w:r w:rsidRPr="006300EC">
        <w:rPr>
          <w:rFonts w:ascii="Times New Roman" w:hAnsi="Times New Roman" w:cs="Times New Roman"/>
          <w:b/>
          <w:bCs/>
          <w:color w:val="1F3864"/>
          <w:sz w:val="24"/>
          <w:szCs w:val="24"/>
        </w:rPr>
        <w:t>6.1  Detection</w:t>
      </w:r>
      <w:proofErr w:type="gramEnd"/>
      <w:r w:rsidRPr="006300EC">
        <w:rPr>
          <w:rFonts w:ascii="Times New Roman" w:hAnsi="Times New Roman" w:cs="Times New Roman"/>
          <w:b/>
          <w:bCs/>
          <w:color w:val="1F3864"/>
          <w:sz w:val="24"/>
          <w:szCs w:val="24"/>
        </w:rPr>
        <w:t xml:space="preserve"> and Reporting</w:t>
      </w:r>
    </w:p>
    <w:p w:rsidR="00507089" w:rsidRPr="006300EC" w:rsidRDefault="005B2FF9">
      <w:pPr>
        <w:spacing w:after="80"/>
        <w:rPr>
          <w:rFonts w:ascii="Times New Roman" w:hAnsi="Times New Roman" w:cs="Times New Roman"/>
          <w:sz w:val="24"/>
          <w:szCs w:val="24"/>
        </w:rPr>
      </w:pPr>
      <w:r w:rsidRPr="006300EC">
        <w:rPr>
          <w:rFonts w:ascii="Times New Roman" w:hAnsi="Times New Roman" w:cs="Times New Roman"/>
          <w:sz w:val="24"/>
          <w:szCs w:val="24"/>
        </w:rPr>
        <w:t>Security events may be detected through automated monitoring (AWS CloudWatch alerts, CRM audit logs), staff observation, third-party notification, or external reports. Upon detecting a potential security event, staff shall:</w:t>
      </w:r>
    </w:p>
    <w:p w:rsidR="00507089" w:rsidRPr="006300EC" w:rsidRDefault="005B2FF9">
      <w:pPr>
        <w:pStyle w:val="ListParagraph"/>
        <w:numPr>
          <w:ilvl w:val="0"/>
          <w:numId w:val="2"/>
        </w:numPr>
        <w:spacing w:after="50"/>
        <w:rPr>
          <w:rFonts w:ascii="Times New Roman" w:hAnsi="Times New Roman" w:cs="Times New Roman"/>
          <w:sz w:val="24"/>
          <w:szCs w:val="24"/>
        </w:rPr>
      </w:pPr>
      <w:r w:rsidRPr="006300EC">
        <w:rPr>
          <w:rFonts w:ascii="Times New Roman" w:hAnsi="Times New Roman" w:cs="Times New Roman"/>
          <w:sz w:val="24"/>
          <w:szCs w:val="24"/>
        </w:rPr>
        <w:t>Report immediately to the ISMS Lead or designated incident reporting channel (a dedicated security reporting email address to be established as part of the ISMS implementation).</w:t>
      </w:r>
    </w:p>
    <w:p w:rsidR="00507089" w:rsidRPr="006300EC" w:rsidRDefault="005B2FF9">
      <w:pPr>
        <w:pStyle w:val="ListParagraph"/>
        <w:numPr>
          <w:ilvl w:val="0"/>
          <w:numId w:val="2"/>
        </w:numPr>
        <w:spacing w:after="50"/>
        <w:rPr>
          <w:rFonts w:ascii="Times New Roman" w:hAnsi="Times New Roman" w:cs="Times New Roman"/>
          <w:sz w:val="24"/>
          <w:szCs w:val="24"/>
        </w:rPr>
      </w:pPr>
      <w:r w:rsidRPr="006300EC">
        <w:rPr>
          <w:rFonts w:ascii="Times New Roman" w:hAnsi="Times New Roman" w:cs="Times New Roman"/>
          <w:sz w:val="24"/>
          <w:szCs w:val="24"/>
        </w:rPr>
        <w:lastRenderedPageBreak/>
        <w:t>Preserve any evidence available at the time (screenshots, log entries, device state). Do not delete, modify, or power off affected systems without instruction from the Incident Manager.</w:t>
      </w:r>
    </w:p>
    <w:p w:rsidR="00507089" w:rsidRPr="006300EC" w:rsidRDefault="005B2FF9">
      <w:pPr>
        <w:pStyle w:val="ListParagraph"/>
        <w:numPr>
          <w:ilvl w:val="0"/>
          <w:numId w:val="2"/>
        </w:numPr>
        <w:spacing w:after="50"/>
        <w:rPr>
          <w:rFonts w:ascii="Times New Roman" w:hAnsi="Times New Roman" w:cs="Times New Roman"/>
          <w:sz w:val="24"/>
          <w:szCs w:val="24"/>
        </w:rPr>
      </w:pPr>
      <w:r w:rsidRPr="006300EC">
        <w:rPr>
          <w:rFonts w:ascii="Times New Roman" w:hAnsi="Times New Roman" w:cs="Times New Roman"/>
          <w:sz w:val="24"/>
          <w:szCs w:val="24"/>
        </w:rPr>
        <w:t>Not discuss the incident externally or on personal social media.</w:t>
      </w:r>
    </w:p>
    <w:p w:rsidR="00507089" w:rsidRPr="006300EC" w:rsidRDefault="005B2FF9">
      <w:pPr>
        <w:spacing w:after="80"/>
        <w:rPr>
          <w:rFonts w:ascii="Times New Roman" w:hAnsi="Times New Roman" w:cs="Times New Roman"/>
          <w:sz w:val="24"/>
          <w:szCs w:val="24"/>
        </w:rPr>
      </w:pPr>
      <w:r w:rsidRPr="006300EC">
        <w:rPr>
          <w:rFonts w:ascii="Times New Roman" w:hAnsi="Times New Roman" w:cs="Times New Roman"/>
          <w:sz w:val="24"/>
          <w:szCs w:val="24"/>
        </w:rPr>
        <w:t>The ISMS Lead shall acknowledge all reported events within two hours during business hours, and within four hours outside business hours.</w:t>
      </w:r>
    </w:p>
    <w:p w:rsidR="00507089" w:rsidRPr="006300EC" w:rsidRDefault="006300EC">
      <w:pPr>
        <w:pBdr>
          <w:bottom w:val="single" w:sz="4" w:space="0" w:color="B8923A"/>
        </w:pBdr>
        <w:spacing w:before="160" w:after="50"/>
        <w:rPr>
          <w:rFonts w:ascii="Times New Roman" w:hAnsi="Times New Roman" w:cs="Times New Roman"/>
          <w:sz w:val="24"/>
          <w:szCs w:val="24"/>
        </w:rPr>
      </w:pPr>
      <w:r w:rsidRPr="006300EC">
        <w:rPr>
          <w:rFonts w:ascii="Times New Roman" w:hAnsi="Times New Roman" w:cs="Times New Roman"/>
          <w:b/>
          <w:bCs/>
          <w:color w:val="1F3864"/>
          <w:sz w:val="24"/>
          <w:szCs w:val="24"/>
        </w:rPr>
        <w:t>6.2 Triage</w:t>
      </w:r>
      <w:r w:rsidR="005B2FF9" w:rsidRPr="006300EC">
        <w:rPr>
          <w:rFonts w:ascii="Times New Roman" w:hAnsi="Times New Roman" w:cs="Times New Roman"/>
          <w:b/>
          <w:bCs/>
          <w:color w:val="1F3864"/>
          <w:sz w:val="24"/>
          <w:szCs w:val="24"/>
        </w:rPr>
        <w:t xml:space="preserve"> and Classification</w:t>
      </w:r>
    </w:p>
    <w:p w:rsidR="00507089" w:rsidRPr="006300EC" w:rsidRDefault="005B2FF9" w:rsidP="006300EC">
      <w:pPr>
        <w:spacing w:after="80"/>
        <w:jc w:val="both"/>
        <w:rPr>
          <w:rFonts w:ascii="Times New Roman" w:hAnsi="Times New Roman" w:cs="Times New Roman"/>
          <w:sz w:val="24"/>
          <w:szCs w:val="24"/>
        </w:rPr>
      </w:pPr>
      <w:r w:rsidRPr="006300EC">
        <w:rPr>
          <w:rFonts w:ascii="Times New Roman" w:hAnsi="Times New Roman" w:cs="Times New Roman"/>
          <w:sz w:val="24"/>
          <w:szCs w:val="24"/>
        </w:rPr>
        <w:t>Upon receiving a reported event, the Incident Manager shall assess the event and determine whether it constitutes an incident. If confirmed as an incident, the Incident Manager shall: assign a severity classification using the matrix in Section 4, open an incident record in the incident log, formally activate the response process, and notify the CEO for all High or Critical incidents.</w:t>
      </w:r>
    </w:p>
    <w:p w:rsidR="00507089" w:rsidRPr="006300EC" w:rsidRDefault="006300EC">
      <w:pPr>
        <w:pBdr>
          <w:bottom w:val="single" w:sz="4" w:space="0" w:color="B8923A"/>
        </w:pBdr>
        <w:spacing w:before="160" w:after="50"/>
        <w:rPr>
          <w:rFonts w:ascii="Times New Roman" w:hAnsi="Times New Roman" w:cs="Times New Roman"/>
          <w:sz w:val="24"/>
          <w:szCs w:val="24"/>
        </w:rPr>
      </w:pPr>
      <w:r w:rsidRPr="006300EC">
        <w:rPr>
          <w:rFonts w:ascii="Times New Roman" w:hAnsi="Times New Roman" w:cs="Times New Roman"/>
          <w:b/>
          <w:bCs/>
          <w:color w:val="1F3864"/>
          <w:sz w:val="24"/>
          <w:szCs w:val="24"/>
        </w:rPr>
        <w:t>6.3 Containment</w:t>
      </w:r>
    </w:p>
    <w:p w:rsidR="00507089" w:rsidRPr="006300EC" w:rsidRDefault="005B2FF9">
      <w:pPr>
        <w:spacing w:after="80"/>
        <w:rPr>
          <w:rFonts w:ascii="Times New Roman" w:hAnsi="Times New Roman" w:cs="Times New Roman"/>
          <w:sz w:val="24"/>
          <w:szCs w:val="24"/>
        </w:rPr>
      </w:pPr>
      <w:r w:rsidRPr="006300EC">
        <w:rPr>
          <w:rFonts w:ascii="Times New Roman" w:hAnsi="Times New Roman" w:cs="Times New Roman"/>
          <w:sz w:val="24"/>
          <w:szCs w:val="24"/>
        </w:rPr>
        <w:t>Containment actions shall be taken immediately to limit the spread or impact of the incident. Containment shall not be delayed pending a full investigation. Typical containment actions may include:</w:t>
      </w:r>
    </w:p>
    <w:p w:rsidR="00507089" w:rsidRPr="006300EC" w:rsidRDefault="005B2FF9">
      <w:pPr>
        <w:pStyle w:val="ListParagraph"/>
        <w:numPr>
          <w:ilvl w:val="0"/>
          <w:numId w:val="2"/>
        </w:numPr>
        <w:spacing w:after="50"/>
        <w:rPr>
          <w:rFonts w:ascii="Times New Roman" w:hAnsi="Times New Roman" w:cs="Times New Roman"/>
          <w:sz w:val="24"/>
          <w:szCs w:val="24"/>
        </w:rPr>
      </w:pPr>
      <w:r w:rsidRPr="006300EC">
        <w:rPr>
          <w:rFonts w:ascii="Times New Roman" w:hAnsi="Times New Roman" w:cs="Times New Roman"/>
          <w:sz w:val="24"/>
          <w:szCs w:val="24"/>
        </w:rPr>
        <w:t>Disabling compromised user accounts or API credentials.</w:t>
      </w:r>
    </w:p>
    <w:p w:rsidR="00507089" w:rsidRPr="006300EC" w:rsidRDefault="005B2FF9">
      <w:pPr>
        <w:pStyle w:val="ListParagraph"/>
        <w:numPr>
          <w:ilvl w:val="0"/>
          <w:numId w:val="2"/>
        </w:numPr>
        <w:spacing w:after="50"/>
        <w:rPr>
          <w:rFonts w:ascii="Times New Roman" w:hAnsi="Times New Roman" w:cs="Times New Roman"/>
          <w:sz w:val="24"/>
          <w:szCs w:val="24"/>
        </w:rPr>
      </w:pPr>
      <w:r w:rsidRPr="006300EC">
        <w:rPr>
          <w:rFonts w:ascii="Times New Roman" w:hAnsi="Times New Roman" w:cs="Times New Roman"/>
          <w:sz w:val="24"/>
          <w:szCs w:val="24"/>
        </w:rPr>
        <w:t>Isolating affected systems from the network to prevent lateral movement.</w:t>
      </w:r>
    </w:p>
    <w:p w:rsidR="00507089" w:rsidRPr="006300EC" w:rsidRDefault="005B2FF9">
      <w:pPr>
        <w:pStyle w:val="ListParagraph"/>
        <w:numPr>
          <w:ilvl w:val="0"/>
          <w:numId w:val="2"/>
        </w:numPr>
        <w:spacing w:after="50"/>
        <w:rPr>
          <w:rFonts w:ascii="Times New Roman" w:hAnsi="Times New Roman" w:cs="Times New Roman"/>
          <w:sz w:val="24"/>
          <w:szCs w:val="24"/>
        </w:rPr>
      </w:pPr>
      <w:r w:rsidRPr="006300EC">
        <w:rPr>
          <w:rFonts w:ascii="Times New Roman" w:hAnsi="Times New Roman" w:cs="Times New Roman"/>
          <w:sz w:val="24"/>
          <w:szCs w:val="24"/>
        </w:rPr>
        <w:t>Blocking malicious IP addresses or disabling affected integrations (e.g. M-Pesa API).</w:t>
      </w:r>
    </w:p>
    <w:p w:rsidR="00507089" w:rsidRPr="006300EC" w:rsidRDefault="005B2FF9">
      <w:pPr>
        <w:pStyle w:val="ListParagraph"/>
        <w:numPr>
          <w:ilvl w:val="0"/>
          <w:numId w:val="2"/>
        </w:numPr>
        <w:spacing w:after="50"/>
        <w:rPr>
          <w:rFonts w:ascii="Times New Roman" w:hAnsi="Times New Roman" w:cs="Times New Roman"/>
          <w:sz w:val="24"/>
          <w:szCs w:val="24"/>
        </w:rPr>
      </w:pPr>
      <w:r w:rsidRPr="006300EC">
        <w:rPr>
          <w:rFonts w:ascii="Times New Roman" w:hAnsi="Times New Roman" w:cs="Times New Roman"/>
          <w:sz w:val="24"/>
          <w:szCs w:val="24"/>
        </w:rPr>
        <w:t>Applying emergency access control changes to the CRM or AWS environment.</w:t>
      </w:r>
    </w:p>
    <w:p w:rsidR="00507089" w:rsidRPr="006300EC" w:rsidRDefault="005B2FF9">
      <w:pPr>
        <w:spacing w:after="80"/>
        <w:rPr>
          <w:rFonts w:ascii="Times New Roman" w:hAnsi="Times New Roman" w:cs="Times New Roman"/>
          <w:sz w:val="24"/>
          <w:szCs w:val="24"/>
        </w:rPr>
      </w:pPr>
      <w:r w:rsidRPr="006300EC">
        <w:rPr>
          <w:rFonts w:ascii="Times New Roman" w:hAnsi="Times New Roman" w:cs="Times New Roman"/>
          <w:sz w:val="24"/>
          <w:szCs w:val="24"/>
        </w:rPr>
        <w:t>All containment actions shall be logged with timestamps, the name of the person who performed them, and the system affected.</w:t>
      </w:r>
    </w:p>
    <w:p w:rsidR="00507089" w:rsidRPr="006300EC" w:rsidRDefault="006300EC">
      <w:pPr>
        <w:pBdr>
          <w:bottom w:val="single" w:sz="4" w:space="0" w:color="B8923A"/>
        </w:pBdr>
        <w:spacing w:before="160" w:after="50"/>
        <w:rPr>
          <w:rFonts w:ascii="Times New Roman" w:hAnsi="Times New Roman" w:cs="Times New Roman"/>
          <w:sz w:val="24"/>
          <w:szCs w:val="24"/>
        </w:rPr>
      </w:pPr>
      <w:r w:rsidRPr="006300EC">
        <w:rPr>
          <w:rFonts w:ascii="Times New Roman" w:hAnsi="Times New Roman" w:cs="Times New Roman"/>
          <w:b/>
          <w:bCs/>
          <w:color w:val="1F3864"/>
          <w:sz w:val="24"/>
          <w:szCs w:val="24"/>
        </w:rPr>
        <w:t>6.4 Eradication</w:t>
      </w:r>
      <w:r w:rsidR="005B2FF9" w:rsidRPr="006300EC">
        <w:rPr>
          <w:rFonts w:ascii="Times New Roman" w:hAnsi="Times New Roman" w:cs="Times New Roman"/>
          <w:b/>
          <w:bCs/>
          <w:color w:val="1F3864"/>
          <w:sz w:val="24"/>
          <w:szCs w:val="24"/>
        </w:rPr>
        <w:t xml:space="preserve"> and Recovery</w:t>
      </w:r>
    </w:p>
    <w:p w:rsidR="00507089" w:rsidRPr="006300EC" w:rsidRDefault="005B2FF9">
      <w:pPr>
        <w:spacing w:after="80"/>
        <w:rPr>
          <w:rFonts w:ascii="Times New Roman" w:hAnsi="Times New Roman" w:cs="Times New Roman"/>
          <w:sz w:val="24"/>
          <w:szCs w:val="24"/>
        </w:rPr>
      </w:pPr>
      <w:r w:rsidRPr="006300EC">
        <w:rPr>
          <w:rFonts w:ascii="Times New Roman" w:hAnsi="Times New Roman" w:cs="Times New Roman"/>
          <w:sz w:val="24"/>
          <w:szCs w:val="24"/>
        </w:rPr>
        <w:t>Following containment, the Engineering team shall identify and remove the root cause of the incident (eradication). Once eradication is confirmed, affected systems shall be restored from verified clean backups or rebuilt where necessary. Recovery shall be confirmed by the Head of Engineering before the incident is considered resolved. The Incident Manager shall document the date and time of recovery confirmation.</w:t>
      </w:r>
    </w:p>
    <w:p w:rsidR="00507089" w:rsidRPr="006300EC" w:rsidRDefault="006300EC">
      <w:pPr>
        <w:pBdr>
          <w:bottom w:val="single" w:sz="4" w:space="0" w:color="B8923A"/>
        </w:pBdr>
        <w:spacing w:before="160" w:after="50"/>
        <w:rPr>
          <w:rFonts w:ascii="Times New Roman" w:hAnsi="Times New Roman" w:cs="Times New Roman"/>
          <w:sz w:val="24"/>
          <w:szCs w:val="24"/>
        </w:rPr>
      </w:pPr>
      <w:r w:rsidRPr="006300EC">
        <w:rPr>
          <w:rFonts w:ascii="Times New Roman" w:hAnsi="Times New Roman" w:cs="Times New Roman"/>
          <w:b/>
          <w:bCs/>
          <w:color w:val="1F3864"/>
          <w:sz w:val="24"/>
          <w:szCs w:val="24"/>
        </w:rPr>
        <w:t>6.5 Post</w:t>
      </w:r>
      <w:r w:rsidR="005B2FF9" w:rsidRPr="006300EC">
        <w:rPr>
          <w:rFonts w:ascii="Times New Roman" w:hAnsi="Times New Roman" w:cs="Times New Roman"/>
          <w:b/>
          <w:bCs/>
          <w:color w:val="1F3864"/>
          <w:sz w:val="24"/>
          <w:szCs w:val="24"/>
        </w:rPr>
        <w:t>-Incident Review</w:t>
      </w:r>
    </w:p>
    <w:p w:rsidR="00507089" w:rsidRPr="006300EC" w:rsidRDefault="005B2FF9">
      <w:pPr>
        <w:spacing w:after="80"/>
        <w:rPr>
          <w:rFonts w:ascii="Times New Roman" w:hAnsi="Times New Roman" w:cs="Times New Roman"/>
          <w:sz w:val="24"/>
          <w:szCs w:val="24"/>
        </w:rPr>
      </w:pPr>
      <w:r w:rsidRPr="006300EC">
        <w:rPr>
          <w:rFonts w:ascii="Times New Roman" w:hAnsi="Times New Roman" w:cs="Times New Roman"/>
          <w:sz w:val="24"/>
          <w:szCs w:val="24"/>
        </w:rPr>
        <w:t>A post-incident review shall be conducted for all High and Critical incidents within 14 days of incident closure, and for Medium incidents within 30 days. The review shall produce a written Post-Incident Report covering:</w:t>
      </w:r>
    </w:p>
    <w:p w:rsidR="00507089" w:rsidRPr="006300EC" w:rsidRDefault="005B2FF9">
      <w:pPr>
        <w:pStyle w:val="ListParagraph"/>
        <w:numPr>
          <w:ilvl w:val="0"/>
          <w:numId w:val="2"/>
        </w:numPr>
        <w:spacing w:after="50"/>
        <w:rPr>
          <w:rFonts w:ascii="Times New Roman" w:hAnsi="Times New Roman" w:cs="Times New Roman"/>
          <w:sz w:val="24"/>
          <w:szCs w:val="24"/>
        </w:rPr>
      </w:pPr>
      <w:r w:rsidRPr="006300EC">
        <w:rPr>
          <w:rFonts w:ascii="Times New Roman" w:hAnsi="Times New Roman" w:cs="Times New Roman"/>
          <w:sz w:val="24"/>
          <w:szCs w:val="24"/>
        </w:rPr>
        <w:t>Timeline of events: when the incident occurred, when it was detected, key response milestones.</w:t>
      </w:r>
    </w:p>
    <w:p w:rsidR="00507089" w:rsidRPr="006300EC" w:rsidRDefault="005B2FF9">
      <w:pPr>
        <w:pStyle w:val="ListParagraph"/>
        <w:numPr>
          <w:ilvl w:val="0"/>
          <w:numId w:val="2"/>
        </w:numPr>
        <w:spacing w:after="50"/>
        <w:rPr>
          <w:rFonts w:ascii="Times New Roman" w:hAnsi="Times New Roman" w:cs="Times New Roman"/>
          <w:sz w:val="24"/>
          <w:szCs w:val="24"/>
        </w:rPr>
      </w:pPr>
      <w:r w:rsidRPr="006300EC">
        <w:rPr>
          <w:rFonts w:ascii="Times New Roman" w:hAnsi="Times New Roman" w:cs="Times New Roman"/>
          <w:sz w:val="24"/>
          <w:szCs w:val="24"/>
        </w:rPr>
        <w:t>Root cause analysis: the technical and/or process failure that enabled the incident.</w:t>
      </w:r>
    </w:p>
    <w:p w:rsidR="00507089" w:rsidRPr="006300EC" w:rsidRDefault="005B2FF9">
      <w:pPr>
        <w:pStyle w:val="ListParagraph"/>
        <w:numPr>
          <w:ilvl w:val="0"/>
          <w:numId w:val="2"/>
        </w:numPr>
        <w:spacing w:after="50"/>
        <w:rPr>
          <w:rFonts w:ascii="Times New Roman" w:hAnsi="Times New Roman" w:cs="Times New Roman"/>
          <w:sz w:val="24"/>
          <w:szCs w:val="24"/>
        </w:rPr>
      </w:pPr>
      <w:r w:rsidRPr="006300EC">
        <w:rPr>
          <w:rFonts w:ascii="Times New Roman" w:hAnsi="Times New Roman" w:cs="Times New Roman"/>
          <w:sz w:val="24"/>
          <w:szCs w:val="24"/>
        </w:rPr>
        <w:t>Impact assessment: what data, systems, or people were affected.</w:t>
      </w:r>
    </w:p>
    <w:p w:rsidR="00507089" w:rsidRPr="006300EC" w:rsidRDefault="005B2FF9">
      <w:pPr>
        <w:pStyle w:val="ListParagraph"/>
        <w:numPr>
          <w:ilvl w:val="0"/>
          <w:numId w:val="2"/>
        </w:numPr>
        <w:spacing w:after="50"/>
        <w:rPr>
          <w:rFonts w:ascii="Times New Roman" w:hAnsi="Times New Roman" w:cs="Times New Roman"/>
          <w:sz w:val="24"/>
          <w:szCs w:val="24"/>
        </w:rPr>
      </w:pPr>
      <w:r w:rsidRPr="006300EC">
        <w:rPr>
          <w:rFonts w:ascii="Times New Roman" w:hAnsi="Times New Roman" w:cs="Times New Roman"/>
          <w:sz w:val="24"/>
          <w:szCs w:val="24"/>
        </w:rPr>
        <w:t>Response effectiveness: what worked well and what could be improved.</w:t>
      </w:r>
    </w:p>
    <w:p w:rsidR="00507089" w:rsidRPr="006300EC" w:rsidRDefault="005B2FF9">
      <w:pPr>
        <w:pStyle w:val="ListParagraph"/>
        <w:numPr>
          <w:ilvl w:val="0"/>
          <w:numId w:val="2"/>
        </w:numPr>
        <w:spacing w:after="50"/>
        <w:rPr>
          <w:rFonts w:ascii="Times New Roman" w:hAnsi="Times New Roman" w:cs="Times New Roman"/>
          <w:sz w:val="24"/>
          <w:szCs w:val="24"/>
        </w:rPr>
      </w:pPr>
      <w:r w:rsidRPr="006300EC">
        <w:rPr>
          <w:rFonts w:ascii="Times New Roman" w:hAnsi="Times New Roman" w:cs="Times New Roman"/>
          <w:sz w:val="24"/>
          <w:szCs w:val="24"/>
        </w:rPr>
        <w:t>Corrective actions: specific, assigned, and time-bound actions to prevent recurrence.</w:t>
      </w:r>
    </w:p>
    <w:p w:rsidR="00507089" w:rsidRPr="006300EC" w:rsidRDefault="005B2FF9">
      <w:pPr>
        <w:spacing w:after="80"/>
        <w:rPr>
          <w:rFonts w:ascii="Times New Roman" w:hAnsi="Times New Roman" w:cs="Times New Roman"/>
          <w:sz w:val="24"/>
          <w:szCs w:val="24"/>
        </w:rPr>
      </w:pPr>
      <w:r w:rsidRPr="006300EC">
        <w:rPr>
          <w:rFonts w:ascii="Times New Roman" w:hAnsi="Times New Roman" w:cs="Times New Roman"/>
          <w:sz w:val="24"/>
          <w:szCs w:val="24"/>
        </w:rPr>
        <w:t>All corrective actions shall be tracked in the ISMS Corrective Action Register and followed up at the next management review.</w:t>
      </w:r>
    </w:p>
    <w:p w:rsidR="00507089" w:rsidRPr="006300EC" w:rsidRDefault="005B2FF9">
      <w:pPr>
        <w:pBdr>
          <w:bottom w:val="single" w:sz="6" w:space="0" w:color="B8923A"/>
          <w:right w:val="single" w:sz="22" w:space="0" w:color="1F3864"/>
        </w:pBdr>
        <w:spacing w:before="260" w:after="70"/>
        <w:rPr>
          <w:rFonts w:ascii="Times New Roman" w:hAnsi="Times New Roman" w:cs="Times New Roman"/>
          <w:sz w:val="24"/>
          <w:szCs w:val="24"/>
        </w:rPr>
      </w:pPr>
      <w:r w:rsidRPr="006300EC">
        <w:rPr>
          <w:rFonts w:ascii="Times New Roman" w:hAnsi="Times New Roman" w:cs="Times New Roman"/>
          <w:b/>
          <w:bCs/>
          <w:color w:val="B8923A"/>
          <w:sz w:val="24"/>
          <w:szCs w:val="24"/>
        </w:rPr>
        <w:t xml:space="preserve">7.  </w:t>
      </w:r>
      <w:r w:rsidRPr="006300EC">
        <w:rPr>
          <w:rFonts w:ascii="Times New Roman" w:hAnsi="Times New Roman" w:cs="Times New Roman"/>
          <w:b/>
          <w:bCs/>
          <w:color w:val="1F3864"/>
          <w:sz w:val="24"/>
          <w:szCs w:val="24"/>
        </w:rPr>
        <w:t>ODPC NOTIFICATION REQUIREMENTS</w:t>
      </w:r>
    </w:p>
    <w:p w:rsidR="00507089" w:rsidRPr="006300EC" w:rsidRDefault="005B2FF9">
      <w:pPr>
        <w:spacing w:after="80"/>
        <w:rPr>
          <w:rFonts w:ascii="Times New Roman" w:hAnsi="Times New Roman" w:cs="Times New Roman"/>
          <w:sz w:val="24"/>
          <w:szCs w:val="24"/>
        </w:rPr>
      </w:pPr>
      <w:r w:rsidRPr="006300EC">
        <w:rPr>
          <w:rFonts w:ascii="Times New Roman" w:hAnsi="Times New Roman" w:cs="Times New Roman"/>
          <w:sz w:val="24"/>
          <w:szCs w:val="24"/>
        </w:rPr>
        <w:t>Under Section 43 of the Data Protection Act, 2019, Tumaini Capital is required to notify the Office of the Data Protection Commissioner (ODPC) of a personal data breach without undue delay, and where feasible, within 72 hours of becoming aware of the breach.</w:t>
      </w:r>
    </w:p>
    <w:p w:rsidR="00507089" w:rsidRPr="006300EC" w:rsidRDefault="005B2FF9">
      <w:pPr>
        <w:spacing w:after="80"/>
        <w:rPr>
          <w:rFonts w:ascii="Times New Roman" w:hAnsi="Times New Roman" w:cs="Times New Roman"/>
          <w:sz w:val="24"/>
          <w:szCs w:val="24"/>
        </w:rPr>
      </w:pPr>
      <w:r w:rsidRPr="006300EC">
        <w:rPr>
          <w:rFonts w:ascii="Times New Roman" w:hAnsi="Times New Roman" w:cs="Times New Roman"/>
          <w:sz w:val="24"/>
          <w:szCs w:val="24"/>
        </w:rPr>
        <w:t>The 72-hour clock starts when a member of Tumaini Capital's staff becomes aware that a personal data breach has likely occurred. The notification to the ODPC shall include:</w:t>
      </w:r>
    </w:p>
    <w:p w:rsidR="00507089" w:rsidRPr="006300EC" w:rsidRDefault="005B2FF9">
      <w:pPr>
        <w:pStyle w:val="ListParagraph"/>
        <w:numPr>
          <w:ilvl w:val="0"/>
          <w:numId w:val="2"/>
        </w:numPr>
        <w:spacing w:after="50"/>
        <w:rPr>
          <w:rFonts w:ascii="Times New Roman" w:hAnsi="Times New Roman" w:cs="Times New Roman"/>
          <w:sz w:val="24"/>
          <w:szCs w:val="24"/>
        </w:rPr>
      </w:pPr>
      <w:r w:rsidRPr="006300EC">
        <w:rPr>
          <w:rFonts w:ascii="Times New Roman" w:hAnsi="Times New Roman" w:cs="Times New Roman"/>
          <w:sz w:val="24"/>
          <w:szCs w:val="24"/>
        </w:rPr>
        <w:t>The nature of the personal data breach, including the categories and approximate number of data subjects concerned.</w:t>
      </w:r>
    </w:p>
    <w:p w:rsidR="00507089" w:rsidRPr="006300EC" w:rsidRDefault="005B2FF9">
      <w:pPr>
        <w:pStyle w:val="ListParagraph"/>
        <w:numPr>
          <w:ilvl w:val="0"/>
          <w:numId w:val="2"/>
        </w:numPr>
        <w:spacing w:after="50"/>
        <w:rPr>
          <w:rFonts w:ascii="Times New Roman" w:hAnsi="Times New Roman" w:cs="Times New Roman"/>
          <w:sz w:val="24"/>
          <w:szCs w:val="24"/>
        </w:rPr>
      </w:pPr>
      <w:r w:rsidRPr="006300EC">
        <w:rPr>
          <w:rFonts w:ascii="Times New Roman" w:hAnsi="Times New Roman" w:cs="Times New Roman"/>
          <w:sz w:val="24"/>
          <w:szCs w:val="24"/>
        </w:rPr>
        <w:t>The name and contact details of the Data Protection Officer or ISMS Lead.</w:t>
      </w:r>
    </w:p>
    <w:p w:rsidR="00507089" w:rsidRPr="006300EC" w:rsidRDefault="005B2FF9">
      <w:pPr>
        <w:pStyle w:val="ListParagraph"/>
        <w:numPr>
          <w:ilvl w:val="0"/>
          <w:numId w:val="2"/>
        </w:numPr>
        <w:spacing w:after="50"/>
        <w:rPr>
          <w:rFonts w:ascii="Times New Roman" w:hAnsi="Times New Roman" w:cs="Times New Roman"/>
          <w:sz w:val="24"/>
          <w:szCs w:val="24"/>
        </w:rPr>
      </w:pPr>
      <w:r w:rsidRPr="006300EC">
        <w:rPr>
          <w:rFonts w:ascii="Times New Roman" w:hAnsi="Times New Roman" w:cs="Times New Roman"/>
          <w:sz w:val="24"/>
          <w:szCs w:val="24"/>
        </w:rPr>
        <w:lastRenderedPageBreak/>
        <w:t>A description of the likely consequences of the breach.</w:t>
      </w:r>
    </w:p>
    <w:p w:rsidR="00507089" w:rsidRPr="006300EC" w:rsidRDefault="005B2FF9">
      <w:pPr>
        <w:pStyle w:val="ListParagraph"/>
        <w:numPr>
          <w:ilvl w:val="0"/>
          <w:numId w:val="2"/>
        </w:numPr>
        <w:spacing w:after="50"/>
        <w:rPr>
          <w:rFonts w:ascii="Times New Roman" w:hAnsi="Times New Roman" w:cs="Times New Roman"/>
          <w:sz w:val="24"/>
          <w:szCs w:val="24"/>
        </w:rPr>
      </w:pPr>
      <w:r w:rsidRPr="006300EC">
        <w:rPr>
          <w:rFonts w:ascii="Times New Roman" w:hAnsi="Times New Roman" w:cs="Times New Roman"/>
          <w:sz w:val="24"/>
          <w:szCs w:val="24"/>
        </w:rPr>
        <w:t>A description of the measures taken or proposed to address the breach, including measures to mitigate its possible adverse effects.</w:t>
      </w:r>
    </w:p>
    <w:p w:rsidR="00507089" w:rsidRPr="006300EC" w:rsidRDefault="005B2FF9">
      <w:pPr>
        <w:spacing w:after="80"/>
        <w:rPr>
          <w:rFonts w:ascii="Times New Roman" w:hAnsi="Times New Roman" w:cs="Times New Roman"/>
          <w:sz w:val="24"/>
          <w:szCs w:val="24"/>
        </w:rPr>
      </w:pPr>
      <w:r w:rsidRPr="006300EC">
        <w:rPr>
          <w:rFonts w:ascii="Times New Roman" w:hAnsi="Times New Roman" w:cs="Times New Roman"/>
          <w:sz w:val="24"/>
          <w:szCs w:val="24"/>
        </w:rPr>
        <w:t>Where notification within 72 hours is not possible, Tumaini Capital shall notify the ODPC as soon as practicable and provide a reasoned justification for the delay. Where the breach is likely to result in a high risk to the rights of data subjects, affected individuals shall also be notified directly without undue delay.</w:t>
      </w:r>
    </w:p>
    <w:p w:rsidR="00507089" w:rsidRPr="006300EC" w:rsidRDefault="005B2FF9">
      <w:pPr>
        <w:spacing w:after="80"/>
        <w:rPr>
          <w:rFonts w:ascii="Times New Roman" w:hAnsi="Times New Roman" w:cs="Times New Roman"/>
          <w:sz w:val="24"/>
          <w:szCs w:val="24"/>
        </w:rPr>
      </w:pPr>
      <w:r w:rsidRPr="006300EC">
        <w:rPr>
          <w:rFonts w:ascii="Times New Roman" w:hAnsi="Times New Roman" w:cs="Times New Roman"/>
          <w:i/>
          <w:iCs/>
          <w:sz w:val="24"/>
          <w:szCs w:val="24"/>
        </w:rPr>
        <w:t>The ISMS Lead is solely responsible for preparing and submitting ODPC notifications. No other person shall submit a notification without the ISMS Lead's explicit instruction.</w:t>
      </w:r>
    </w:p>
    <w:p w:rsidR="00507089" w:rsidRPr="006300EC" w:rsidRDefault="005B2FF9">
      <w:pPr>
        <w:pBdr>
          <w:bottom w:val="single" w:sz="6" w:space="0" w:color="B8923A"/>
          <w:right w:val="single" w:sz="22" w:space="0" w:color="1F3864"/>
        </w:pBdr>
        <w:spacing w:before="260" w:after="70"/>
        <w:rPr>
          <w:rFonts w:ascii="Times New Roman" w:hAnsi="Times New Roman" w:cs="Times New Roman"/>
          <w:sz w:val="24"/>
          <w:szCs w:val="24"/>
        </w:rPr>
      </w:pPr>
      <w:r w:rsidRPr="006300EC">
        <w:rPr>
          <w:rFonts w:ascii="Times New Roman" w:hAnsi="Times New Roman" w:cs="Times New Roman"/>
          <w:b/>
          <w:bCs/>
          <w:color w:val="B8923A"/>
          <w:sz w:val="24"/>
          <w:szCs w:val="24"/>
        </w:rPr>
        <w:t xml:space="preserve">8.  </w:t>
      </w:r>
      <w:r w:rsidRPr="006300EC">
        <w:rPr>
          <w:rFonts w:ascii="Times New Roman" w:hAnsi="Times New Roman" w:cs="Times New Roman"/>
          <w:b/>
          <w:bCs/>
          <w:color w:val="1F3864"/>
          <w:sz w:val="24"/>
          <w:szCs w:val="24"/>
        </w:rPr>
        <w:t>EVIDENCE PRESERVATION</w:t>
      </w:r>
    </w:p>
    <w:p w:rsidR="00507089" w:rsidRPr="006300EC" w:rsidRDefault="005B2FF9">
      <w:pPr>
        <w:spacing w:after="80"/>
        <w:rPr>
          <w:rFonts w:ascii="Times New Roman" w:hAnsi="Times New Roman" w:cs="Times New Roman"/>
          <w:sz w:val="24"/>
          <w:szCs w:val="24"/>
        </w:rPr>
      </w:pPr>
      <w:r w:rsidRPr="006300EC">
        <w:rPr>
          <w:rFonts w:ascii="Times New Roman" w:hAnsi="Times New Roman" w:cs="Times New Roman"/>
          <w:sz w:val="24"/>
          <w:szCs w:val="24"/>
        </w:rPr>
        <w:t>Preserving evidence is critical for regulatory compliance, potential legal proceedings, and root cause analysis. The following requirements apply to all High and Critical incidents:</w:t>
      </w:r>
    </w:p>
    <w:p w:rsidR="00507089" w:rsidRPr="006300EC" w:rsidRDefault="005B2FF9">
      <w:pPr>
        <w:pStyle w:val="ListParagraph"/>
        <w:numPr>
          <w:ilvl w:val="0"/>
          <w:numId w:val="2"/>
        </w:numPr>
        <w:spacing w:after="50"/>
        <w:rPr>
          <w:rFonts w:ascii="Times New Roman" w:hAnsi="Times New Roman" w:cs="Times New Roman"/>
          <w:sz w:val="24"/>
          <w:szCs w:val="24"/>
        </w:rPr>
      </w:pPr>
      <w:r w:rsidRPr="006300EC">
        <w:rPr>
          <w:rFonts w:ascii="Times New Roman" w:hAnsi="Times New Roman" w:cs="Times New Roman"/>
          <w:sz w:val="24"/>
          <w:szCs w:val="24"/>
        </w:rPr>
        <w:t>System logs, audit trails, and screenshots shall be preserved in their original form before any remediation action is taken.</w:t>
      </w:r>
    </w:p>
    <w:p w:rsidR="00507089" w:rsidRPr="006300EC" w:rsidRDefault="005B2FF9">
      <w:pPr>
        <w:pStyle w:val="ListParagraph"/>
        <w:numPr>
          <w:ilvl w:val="0"/>
          <w:numId w:val="2"/>
        </w:numPr>
        <w:spacing w:after="50"/>
        <w:rPr>
          <w:rFonts w:ascii="Times New Roman" w:hAnsi="Times New Roman" w:cs="Times New Roman"/>
          <w:sz w:val="24"/>
          <w:szCs w:val="24"/>
        </w:rPr>
      </w:pPr>
      <w:r w:rsidRPr="006300EC">
        <w:rPr>
          <w:rFonts w:ascii="Times New Roman" w:hAnsi="Times New Roman" w:cs="Times New Roman"/>
          <w:sz w:val="24"/>
          <w:szCs w:val="24"/>
        </w:rPr>
        <w:t>AWS CloudTrail logs, CRM audit logs, and authentication logs relevant to the incident shall be exported and secured in a dedicated incident evidence folder with access restricted to the Incident Manager.</w:t>
      </w:r>
    </w:p>
    <w:p w:rsidR="00507089" w:rsidRPr="006300EC" w:rsidRDefault="005B2FF9">
      <w:pPr>
        <w:pStyle w:val="ListParagraph"/>
        <w:numPr>
          <w:ilvl w:val="0"/>
          <w:numId w:val="2"/>
        </w:numPr>
        <w:spacing w:after="50"/>
        <w:rPr>
          <w:rFonts w:ascii="Times New Roman" w:hAnsi="Times New Roman" w:cs="Times New Roman"/>
          <w:sz w:val="24"/>
          <w:szCs w:val="24"/>
        </w:rPr>
      </w:pPr>
      <w:r w:rsidRPr="006300EC">
        <w:rPr>
          <w:rFonts w:ascii="Times New Roman" w:hAnsi="Times New Roman" w:cs="Times New Roman"/>
          <w:sz w:val="24"/>
          <w:szCs w:val="24"/>
        </w:rPr>
        <w:t>Physical evidence (e.g. a device suspected of compromise) shall not be powered off or modified without instruction from the Incident Manager or legal counsel.</w:t>
      </w:r>
    </w:p>
    <w:p w:rsidR="00507089" w:rsidRPr="006300EC" w:rsidRDefault="005B2FF9">
      <w:pPr>
        <w:pStyle w:val="ListParagraph"/>
        <w:numPr>
          <w:ilvl w:val="0"/>
          <w:numId w:val="2"/>
        </w:numPr>
        <w:spacing w:after="50"/>
        <w:rPr>
          <w:rFonts w:ascii="Times New Roman" w:hAnsi="Times New Roman" w:cs="Times New Roman"/>
          <w:sz w:val="24"/>
          <w:szCs w:val="24"/>
        </w:rPr>
      </w:pPr>
      <w:r w:rsidRPr="006300EC">
        <w:rPr>
          <w:rFonts w:ascii="Times New Roman" w:hAnsi="Times New Roman" w:cs="Times New Roman"/>
          <w:sz w:val="24"/>
          <w:szCs w:val="24"/>
        </w:rPr>
        <w:t>Evidence shall be retained for a minimum of five years or until any legal proceedings arising from the incident are concluded, whichever is longer.</w:t>
      </w:r>
    </w:p>
    <w:p w:rsidR="00507089" w:rsidRPr="006300EC" w:rsidRDefault="005B2FF9">
      <w:pPr>
        <w:pBdr>
          <w:bottom w:val="single" w:sz="6" w:space="0" w:color="B8923A"/>
          <w:right w:val="single" w:sz="22" w:space="0" w:color="1F3864"/>
        </w:pBdr>
        <w:spacing w:before="260" w:after="70"/>
        <w:rPr>
          <w:rFonts w:ascii="Times New Roman" w:hAnsi="Times New Roman" w:cs="Times New Roman"/>
          <w:sz w:val="24"/>
          <w:szCs w:val="24"/>
        </w:rPr>
      </w:pPr>
      <w:r w:rsidRPr="006300EC">
        <w:rPr>
          <w:rFonts w:ascii="Times New Roman" w:hAnsi="Times New Roman" w:cs="Times New Roman"/>
          <w:b/>
          <w:bCs/>
          <w:color w:val="B8923A"/>
          <w:sz w:val="24"/>
          <w:szCs w:val="24"/>
        </w:rPr>
        <w:t xml:space="preserve">9.  </w:t>
      </w:r>
      <w:r w:rsidRPr="006300EC">
        <w:rPr>
          <w:rFonts w:ascii="Times New Roman" w:hAnsi="Times New Roman" w:cs="Times New Roman"/>
          <w:b/>
          <w:bCs/>
          <w:color w:val="1F3864"/>
          <w:sz w:val="24"/>
          <w:szCs w:val="24"/>
        </w:rPr>
        <w:t>TRAINING AND TESTING</w:t>
      </w:r>
    </w:p>
    <w:p w:rsidR="00507089" w:rsidRPr="006300EC" w:rsidRDefault="005B2FF9">
      <w:pPr>
        <w:spacing w:after="80"/>
        <w:rPr>
          <w:rFonts w:ascii="Times New Roman" w:hAnsi="Times New Roman" w:cs="Times New Roman"/>
          <w:sz w:val="24"/>
          <w:szCs w:val="24"/>
        </w:rPr>
      </w:pPr>
      <w:r w:rsidRPr="006300EC">
        <w:rPr>
          <w:rFonts w:ascii="Times New Roman" w:hAnsi="Times New Roman" w:cs="Times New Roman"/>
          <w:sz w:val="24"/>
          <w:szCs w:val="24"/>
        </w:rPr>
        <w:t>All staff shall receive information security awareness training that includes instruction on how to identify and report security events. The ISMS Lead and Engineering team shall participate in a tabletop incident response exercise at least annually, simulating a realistic scenario relevant to Tumaini Capital's risk landscape. Exercise outcomes shall be documented and used to update this policy and the supporting incident response procedures.</w:t>
      </w:r>
    </w:p>
    <w:p w:rsidR="00507089" w:rsidRPr="006300EC" w:rsidRDefault="005B2FF9">
      <w:pPr>
        <w:pBdr>
          <w:bottom w:val="single" w:sz="6" w:space="0" w:color="B8923A"/>
          <w:right w:val="single" w:sz="22" w:space="0" w:color="1F3864"/>
        </w:pBdr>
        <w:spacing w:before="260" w:after="70"/>
        <w:rPr>
          <w:rFonts w:ascii="Times New Roman" w:hAnsi="Times New Roman" w:cs="Times New Roman"/>
          <w:sz w:val="24"/>
          <w:szCs w:val="24"/>
        </w:rPr>
      </w:pPr>
      <w:r w:rsidRPr="006300EC">
        <w:rPr>
          <w:rFonts w:ascii="Times New Roman" w:hAnsi="Times New Roman" w:cs="Times New Roman"/>
          <w:b/>
          <w:bCs/>
          <w:color w:val="B8923A"/>
          <w:sz w:val="24"/>
          <w:szCs w:val="24"/>
        </w:rPr>
        <w:t xml:space="preserve">10.  </w:t>
      </w:r>
      <w:r w:rsidRPr="006300EC">
        <w:rPr>
          <w:rFonts w:ascii="Times New Roman" w:hAnsi="Times New Roman" w:cs="Times New Roman"/>
          <w:b/>
          <w:bCs/>
          <w:color w:val="1F3864"/>
          <w:sz w:val="24"/>
          <w:szCs w:val="24"/>
        </w:rPr>
        <w:t>REVIEW</w:t>
      </w:r>
    </w:p>
    <w:p w:rsidR="00507089" w:rsidRPr="006300EC" w:rsidRDefault="005B2FF9">
      <w:pPr>
        <w:spacing w:after="80"/>
        <w:rPr>
          <w:rFonts w:ascii="Times New Roman" w:hAnsi="Times New Roman" w:cs="Times New Roman"/>
          <w:sz w:val="24"/>
          <w:szCs w:val="24"/>
        </w:rPr>
      </w:pPr>
      <w:r w:rsidRPr="006300EC">
        <w:rPr>
          <w:rFonts w:ascii="Times New Roman" w:hAnsi="Times New Roman" w:cs="Times New Roman"/>
          <w:sz w:val="24"/>
          <w:szCs w:val="24"/>
        </w:rPr>
        <w:t>This policy shall be reviewed annually, following any significant incident, and following any change to the applicable regulatory framework, including guidance issued by the ODPC.</w:t>
      </w:r>
    </w:p>
    <w:p w:rsidR="00507089" w:rsidRPr="00D12215" w:rsidRDefault="00507089">
      <w:pPr>
        <w:spacing w:after="60"/>
        <w:rPr>
          <w:rFonts w:ascii="Times New Roman" w:hAnsi="Times New Roman" w:cs="Times New Roman"/>
        </w:rPr>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200"/>
      </w:tblGrid>
      <w:tr w:rsidR="00507089" w:rsidRPr="000652F8">
        <w:trPr>
          <w:tblHeader/>
        </w:trPr>
        <w:tc>
          <w:tcPr>
            <w:tcW w:w="320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00" w:type="dxa"/>
              <w:bottom w:w="80" w:type="dxa"/>
              <w:right w:w="100" w:type="dxa"/>
            </w:tcMar>
          </w:tcPr>
          <w:p w:rsidR="00507089" w:rsidRPr="000652F8" w:rsidRDefault="005B2FF9">
            <w:pPr>
              <w:rPr>
                <w:rFonts w:ascii="Times New Roman" w:hAnsi="Times New Roman" w:cs="Times New Roman"/>
                <w:sz w:val="20"/>
                <w:szCs w:val="20"/>
              </w:rPr>
            </w:pPr>
            <w:r w:rsidRPr="000652F8">
              <w:rPr>
                <w:rFonts w:ascii="Times New Roman" w:hAnsi="Times New Roman" w:cs="Times New Roman"/>
                <w:b/>
                <w:bCs/>
                <w:color w:val="FFFFFF"/>
                <w:sz w:val="20"/>
                <w:szCs w:val="20"/>
              </w:rPr>
              <w:t>Role</w:t>
            </w:r>
          </w:p>
        </w:tc>
        <w:tc>
          <w:tcPr>
            <w:tcW w:w="320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00" w:type="dxa"/>
              <w:bottom w:w="80" w:type="dxa"/>
              <w:right w:w="100" w:type="dxa"/>
            </w:tcMar>
          </w:tcPr>
          <w:p w:rsidR="00507089" w:rsidRPr="000652F8" w:rsidRDefault="005B2FF9">
            <w:pPr>
              <w:rPr>
                <w:rFonts w:ascii="Times New Roman" w:hAnsi="Times New Roman" w:cs="Times New Roman"/>
                <w:sz w:val="20"/>
                <w:szCs w:val="20"/>
              </w:rPr>
            </w:pPr>
            <w:r w:rsidRPr="000652F8">
              <w:rPr>
                <w:rFonts w:ascii="Times New Roman" w:hAnsi="Times New Roman" w:cs="Times New Roman"/>
                <w:b/>
                <w:bCs/>
                <w:color w:val="FFFFFF"/>
                <w:sz w:val="20"/>
                <w:szCs w:val="20"/>
              </w:rPr>
              <w:t>Name &amp; Signature</w:t>
            </w:r>
          </w:p>
        </w:tc>
        <w:tc>
          <w:tcPr>
            <w:tcW w:w="3200" w:type="dxa"/>
            <w:tcBorders>
              <w:top w:val="single" w:sz="2" w:space="0" w:color="D9D9D9"/>
              <w:left w:val="single" w:sz="2" w:space="0" w:color="D9D9D9"/>
              <w:bottom w:val="single" w:sz="2" w:space="0" w:color="D9D9D9"/>
              <w:right w:val="single" w:sz="2" w:space="0" w:color="D9D9D9"/>
            </w:tcBorders>
            <w:shd w:val="clear" w:color="auto" w:fill="1F3864"/>
            <w:tcMar>
              <w:top w:w="80" w:type="dxa"/>
              <w:left w:w="100" w:type="dxa"/>
              <w:bottom w:w="80" w:type="dxa"/>
              <w:right w:w="100" w:type="dxa"/>
            </w:tcMar>
          </w:tcPr>
          <w:p w:rsidR="00507089" w:rsidRPr="000652F8" w:rsidRDefault="005B2FF9">
            <w:pPr>
              <w:rPr>
                <w:rFonts w:ascii="Times New Roman" w:hAnsi="Times New Roman" w:cs="Times New Roman"/>
                <w:sz w:val="20"/>
                <w:szCs w:val="20"/>
              </w:rPr>
            </w:pPr>
            <w:r w:rsidRPr="000652F8">
              <w:rPr>
                <w:rFonts w:ascii="Times New Roman" w:hAnsi="Times New Roman" w:cs="Times New Roman"/>
                <w:b/>
                <w:bCs/>
                <w:color w:val="FFFFFF"/>
                <w:sz w:val="20"/>
                <w:szCs w:val="20"/>
              </w:rPr>
              <w:t>Date</w:t>
            </w:r>
          </w:p>
        </w:tc>
      </w:tr>
      <w:tr w:rsidR="00507089" w:rsidRPr="000652F8">
        <w:tc>
          <w:tcPr>
            <w:tcW w:w="3200" w:type="dxa"/>
            <w:tcBorders>
              <w:top w:val="single" w:sz="2" w:space="0" w:color="D9D9D9"/>
              <w:left w:val="single" w:sz="2" w:space="0" w:color="D9D9D9"/>
              <w:bottom w:val="single" w:sz="2" w:space="0" w:color="D9D9D9"/>
              <w:right w:val="single" w:sz="2" w:space="0" w:color="D9D9D9"/>
            </w:tcBorders>
            <w:shd w:val="clear" w:color="auto" w:fill="D6E0EE"/>
            <w:tcMar>
              <w:top w:w="80" w:type="dxa"/>
              <w:left w:w="100" w:type="dxa"/>
              <w:bottom w:w="80" w:type="dxa"/>
              <w:right w:w="100" w:type="dxa"/>
            </w:tcMar>
          </w:tcPr>
          <w:p w:rsidR="00507089" w:rsidRPr="000652F8" w:rsidRDefault="005B2FF9">
            <w:pPr>
              <w:rPr>
                <w:rFonts w:ascii="Times New Roman" w:hAnsi="Times New Roman" w:cs="Times New Roman"/>
                <w:sz w:val="20"/>
                <w:szCs w:val="20"/>
              </w:rPr>
            </w:pPr>
            <w:r w:rsidRPr="000652F8">
              <w:rPr>
                <w:rFonts w:ascii="Times New Roman" w:hAnsi="Times New Roman" w:cs="Times New Roman"/>
                <w:b/>
                <w:bCs/>
                <w:color w:val="1F3864"/>
                <w:sz w:val="20"/>
                <w:szCs w:val="20"/>
              </w:rPr>
              <w:t>Head of Risk &amp; Compliance / ISMS Lead (Author)</w:t>
            </w:r>
          </w:p>
        </w:tc>
        <w:tc>
          <w:tcPr>
            <w:tcW w:w="32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00" w:type="dxa"/>
              <w:bottom w:w="80" w:type="dxa"/>
              <w:right w:w="100" w:type="dxa"/>
            </w:tcMar>
          </w:tcPr>
          <w:p w:rsidR="00507089" w:rsidRPr="000652F8" w:rsidRDefault="00507089">
            <w:pPr>
              <w:rPr>
                <w:rFonts w:ascii="Times New Roman" w:hAnsi="Times New Roman" w:cs="Times New Roman"/>
                <w:sz w:val="20"/>
                <w:szCs w:val="20"/>
              </w:rPr>
            </w:pPr>
          </w:p>
        </w:tc>
        <w:tc>
          <w:tcPr>
            <w:tcW w:w="32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00" w:type="dxa"/>
              <w:bottom w:w="80" w:type="dxa"/>
              <w:right w:w="100" w:type="dxa"/>
            </w:tcMar>
          </w:tcPr>
          <w:p w:rsidR="00507089" w:rsidRPr="000652F8" w:rsidRDefault="00507089">
            <w:pPr>
              <w:rPr>
                <w:rFonts w:ascii="Times New Roman" w:hAnsi="Times New Roman" w:cs="Times New Roman"/>
                <w:sz w:val="20"/>
                <w:szCs w:val="20"/>
              </w:rPr>
            </w:pPr>
          </w:p>
        </w:tc>
      </w:tr>
      <w:tr w:rsidR="00507089" w:rsidRPr="000652F8">
        <w:tc>
          <w:tcPr>
            <w:tcW w:w="3200" w:type="dxa"/>
            <w:tcBorders>
              <w:top w:val="single" w:sz="2" w:space="0" w:color="D9D9D9"/>
              <w:left w:val="single" w:sz="2" w:space="0" w:color="D9D9D9"/>
              <w:bottom w:val="single" w:sz="2" w:space="0" w:color="D9D9D9"/>
              <w:right w:val="single" w:sz="2" w:space="0" w:color="D9D9D9"/>
            </w:tcBorders>
            <w:shd w:val="clear" w:color="auto" w:fill="D6E0EE"/>
            <w:tcMar>
              <w:top w:w="80" w:type="dxa"/>
              <w:left w:w="100" w:type="dxa"/>
              <w:bottom w:w="80" w:type="dxa"/>
              <w:right w:w="100" w:type="dxa"/>
            </w:tcMar>
          </w:tcPr>
          <w:p w:rsidR="00507089" w:rsidRPr="000652F8" w:rsidRDefault="005B2FF9">
            <w:pPr>
              <w:rPr>
                <w:rFonts w:ascii="Times New Roman" w:hAnsi="Times New Roman" w:cs="Times New Roman"/>
                <w:sz w:val="20"/>
                <w:szCs w:val="20"/>
              </w:rPr>
            </w:pPr>
            <w:r w:rsidRPr="000652F8">
              <w:rPr>
                <w:rFonts w:ascii="Times New Roman" w:hAnsi="Times New Roman" w:cs="Times New Roman"/>
                <w:b/>
                <w:bCs/>
                <w:color w:val="1F3864"/>
                <w:sz w:val="20"/>
                <w:szCs w:val="20"/>
              </w:rPr>
              <w:t>Head of Engineering (Technical Owner)</w:t>
            </w:r>
          </w:p>
        </w:tc>
        <w:tc>
          <w:tcPr>
            <w:tcW w:w="32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00" w:type="dxa"/>
              <w:bottom w:w="80" w:type="dxa"/>
              <w:right w:w="100" w:type="dxa"/>
            </w:tcMar>
          </w:tcPr>
          <w:p w:rsidR="00507089" w:rsidRPr="000652F8" w:rsidRDefault="00507089">
            <w:pPr>
              <w:rPr>
                <w:rFonts w:ascii="Times New Roman" w:hAnsi="Times New Roman" w:cs="Times New Roman"/>
                <w:sz w:val="20"/>
                <w:szCs w:val="20"/>
              </w:rPr>
            </w:pPr>
          </w:p>
        </w:tc>
        <w:tc>
          <w:tcPr>
            <w:tcW w:w="32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00" w:type="dxa"/>
              <w:bottom w:w="80" w:type="dxa"/>
              <w:right w:w="100" w:type="dxa"/>
            </w:tcMar>
          </w:tcPr>
          <w:p w:rsidR="00507089" w:rsidRPr="000652F8" w:rsidRDefault="00507089">
            <w:pPr>
              <w:rPr>
                <w:rFonts w:ascii="Times New Roman" w:hAnsi="Times New Roman" w:cs="Times New Roman"/>
                <w:sz w:val="20"/>
                <w:szCs w:val="20"/>
              </w:rPr>
            </w:pPr>
          </w:p>
        </w:tc>
      </w:tr>
      <w:tr w:rsidR="00507089" w:rsidRPr="000652F8">
        <w:tc>
          <w:tcPr>
            <w:tcW w:w="3200" w:type="dxa"/>
            <w:tcBorders>
              <w:top w:val="single" w:sz="2" w:space="0" w:color="D9D9D9"/>
              <w:left w:val="single" w:sz="2" w:space="0" w:color="D9D9D9"/>
              <w:bottom w:val="single" w:sz="2" w:space="0" w:color="D9D9D9"/>
              <w:right w:val="single" w:sz="2" w:space="0" w:color="D9D9D9"/>
            </w:tcBorders>
            <w:shd w:val="clear" w:color="auto" w:fill="D6E0EE"/>
            <w:tcMar>
              <w:top w:w="80" w:type="dxa"/>
              <w:left w:w="100" w:type="dxa"/>
              <w:bottom w:w="80" w:type="dxa"/>
              <w:right w:w="100" w:type="dxa"/>
            </w:tcMar>
          </w:tcPr>
          <w:p w:rsidR="00507089" w:rsidRPr="000652F8" w:rsidRDefault="005B2FF9">
            <w:pPr>
              <w:rPr>
                <w:rFonts w:ascii="Times New Roman" w:hAnsi="Times New Roman" w:cs="Times New Roman"/>
                <w:sz w:val="20"/>
                <w:szCs w:val="20"/>
              </w:rPr>
            </w:pPr>
            <w:r w:rsidRPr="000652F8">
              <w:rPr>
                <w:rFonts w:ascii="Times New Roman" w:hAnsi="Times New Roman" w:cs="Times New Roman"/>
                <w:b/>
                <w:bCs/>
                <w:color w:val="1F3864"/>
                <w:sz w:val="20"/>
                <w:szCs w:val="20"/>
              </w:rPr>
              <w:t>Chief Executive Officer (Approver)</w:t>
            </w:r>
          </w:p>
        </w:tc>
        <w:tc>
          <w:tcPr>
            <w:tcW w:w="32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00" w:type="dxa"/>
              <w:bottom w:w="80" w:type="dxa"/>
              <w:right w:w="100" w:type="dxa"/>
            </w:tcMar>
          </w:tcPr>
          <w:p w:rsidR="00507089" w:rsidRPr="000652F8" w:rsidRDefault="00507089">
            <w:pPr>
              <w:rPr>
                <w:rFonts w:ascii="Times New Roman" w:hAnsi="Times New Roman" w:cs="Times New Roman"/>
                <w:sz w:val="20"/>
                <w:szCs w:val="20"/>
              </w:rPr>
            </w:pPr>
          </w:p>
        </w:tc>
        <w:tc>
          <w:tcPr>
            <w:tcW w:w="3200" w:type="dxa"/>
            <w:tcBorders>
              <w:top w:val="single" w:sz="2" w:space="0" w:color="D9D9D9"/>
              <w:left w:val="single" w:sz="2" w:space="0" w:color="D9D9D9"/>
              <w:bottom w:val="single" w:sz="2" w:space="0" w:color="D9D9D9"/>
              <w:right w:val="single" w:sz="2" w:space="0" w:color="D9D9D9"/>
            </w:tcBorders>
            <w:shd w:val="clear" w:color="auto" w:fill="FFFFFF"/>
            <w:tcMar>
              <w:top w:w="80" w:type="dxa"/>
              <w:left w:w="100" w:type="dxa"/>
              <w:bottom w:w="80" w:type="dxa"/>
              <w:right w:w="100" w:type="dxa"/>
            </w:tcMar>
          </w:tcPr>
          <w:p w:rsidR="00507089" w:rsidRPr="000652F8" w:rsidRDefault="00507089">
            <w:pPr>
              <w:rPr>
                <w:rFonts w:ascii="Times New Roman" w:hAnsi="Times New Roman" w:cs="Times New Roman"/>
                <w:sz w:val="20"/>
                <w:szCs w:val="20"/>
              </w:rPr>
            </w:pPr>
          </w:p>
        </w:tc>
      </w:tr>
    </w:tbl>
    <w:p w:rsidR="00507089" w:rsidRPr="00D12215" w:rsidRDefault="00507089">
      <w:pPr>
        <w:spacing w:after="80"/>
        <w:rPr>
          <w:rFonts w:ascii="Times New Roman" w:hAnsi="Times New Roman" w:cs="Times New Roman"/>
        </w:rPr>
      </w:pPr>
    </w:p>
    <w:p w:rsidR="00507089" w:rsidRPr="00D12215" w:rsidRDefault="005B2FF9">
      <w:pPr>
        <w:pBdr>
          <w:top w:val="single" w:sz="4" w:space="0" w:color="D9D9D9"/>
        </w:pBdr>
        <w:spacing w:before="120"/>
        <w:jc w:val="center"/>
        <w:rPr>
          <w:rFonts w:ascii="Times New Roman" w:hAnsi="Times New Roman" w:cs="Times New Roman"/>
        </w:rPr>
      </w:pPr>
      <w:r w:rsidRPr="00D12215">
        <w:rPr>
          <w:rFonts w:ascii="Times New Roman" w:hAnsi="Times New Roman" w:cs="Times New Roman"/>
          <w:color w:val="595959"/>
          <w:sz w:val="15"/>
          <w:szCs w:val="15"/>
        </w:rPr>
        <w:t>ISMS-POL-003 v1.</w:t>
      </w:r>
      <w:proofErr w:type="gramStart"/>
      <w:r w:rsidRPr="00D12215">
        <w:rPr>
          <w:rFonts w:ascii="Times New Roman" w:hAnsi="Times New Roman" w:cs="Times New Roman"/>
          <w:color w:val="595959"/>
          <w:sz w:val="15"/>
          <w:szCs w:val="15"/>
        </w:rPr>
        <w:t>0  |</w:t>
      </w:r>
      <w:proofErr w:type="gramEnd"/>
      <w:r w:rsidRPr="00D12215">
        <w:rPr>
          <w:rFonts w:ascii="Times New Roman" w:hAnsi="Times New Roman" w:cs="Times New Roman"/>
          <w:color w:val="595959"/>
          <w:sz w:val="15"/>
          <w:szCs w:val="15"/>
        </w:rPr>
        <w:t xml:space="preserve">  Tumaini Capital Ltd  |  Incident Response Policy  |  Fictional case study</w:t>
      </w:r>
    </w:p>
    <w:sectPr w:rsidR="00507089" w:rsidRPr="00D12215">
      <w:pgSz w:w="12240" w:h="15840"/>
      <w:pgMar w:top="700" w:right="800" w:bottom="700" w:left="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7039D0"/>
    <w:multiLevelType w:val="hybridMultilevel"/>
    <w:tmpl w:val="2E641446"/>
    <w:lvl w:ilvl="0" w:tplc="30F6AC86">
      <w:start w:val="1"/>
      <w:numFmt w:val="bullet"/>
      <w:lvlText w:val="●"/>
      <w:lvlJc w:val="left"/>
      <w:pPr>
        <w:ind w:left="720" w:hanging="360"/>
      </w:pPr>
    </w:lvl>
    <w:lvl w:ilvl="1" w:tplc="153C210C">
      <w:start w:val="1"/>
      <w:numFmt w:val="bullet"/>
      <w:lvlText w:val="○"/>
      <w:lvlJc w:val="left"/>
      <w:pPr>
        <w:ind w:left="1440" w:hanging="360"/>
      </w:pPr>
    </w:lvl>
    <w:lvl w:ilvl="2" w:tplc="18C48828">
      <w:start w:val="1"/>
      <w:numFmt w:val="bullet"/>
      <w:lvlText w:val="■"/>
      <w:lvlJc w:val="left"/>
      <w:pPr>
        <w:ind w:left="2160" w:hanging="360"/>
      </w:pPr>
    </w:lvl>
    <w:lvl w:ilvl="3" w:tplc="0930F91A">
      <w:start w:val="1"/>
      <w:numFmt w:val="bullet"/>
      <w:lvlText w:val="●"/>
      <w:lvlJc w:val="left"/>
      <w:pPr>
        <w:ind w:left="2880" w:hanging="360"/>
      </w:pPr>
    </w:lvl>
    <w:lvl w:ilvl="4" w:tplc="084481DC">
      <w:start w:val="1"/>
      <w:numFmt w:val="bullet"/>
      <w:lvlText w:val="○"/>
      <w:lvlJc w:val="left"/>
      <w:pPr>
        <w:ind w:left="3600" w:hanging="360"/>
      </w:pPr>
    </w:lvl>
    <w:lvl w:ilvl="5" w:tplc="795061E2">
      <w:start w:val="1"/>
      <w:numFmt w:val="bullet"/>
      <w:lvlText w:val="■"/>
      <w:lvlJc w:val="left"/>
      <w:pPr>
        <w:ind w:left="4320" w:hanging="360"/>
      </w:pPr>
    </w:lvl>
    <w:lvl w:ilvl="6" w:tplc="A2CA988A">
      <w:start w:val="1"/>
      <w:numFmt w:val="bullet"/>
      <w:lvlText w:val="●"/>
      <w:lvlJc w:val="left"/>
      <w:pPr>
        <w:ind w:left="5040" w:hanging="360"/>
      </w:pPr>
    </w:lvl>
    <w:lvl w:ilvl="7" w:tplc="62109B7E">
      <w:start w:val="1"/>
      <w:numFmt w:val="bullet"/>
      <w:lvlText w:val="●"/>
      <w:lvlJc w:val="left"/>
      <w:pPr>
        <w:ind w:left="5760" w:hanging="360"/>
      </w:pPr>
    </w:lvl>
    <w:lvl w:ilvl="8" w:tplc="DA740D1E">
      <w:start w:val="1"/>
      <w:numFmt w:val="bullet"/>
      <w:lvlText w:val="●"/>
      <w:lvlJc w:val="left"/>
      <w:pPr>
        <w:ind w:left="6480" w:hanging="360"/>
      </w:pPr>
    </w:lvl>
  </w:abstractNum>
  <w:abstractNum w:abstractNumId="1" w15:restartNumberingAfterBreak="0">
    <w:nsid w:val="3ADA0369"/>
    <w:multiLevelType w:val="hybridMultilevel"/>
    <w:tmpl w:val="FF18E1BC"/>
    <w:lvl w:ilvl="0" w:tplc="7D4C6214">
      <w:start w:val="1"/>
      <w:numFmt w:val="bullet"/>
      <w:lvlText w:val="–"/>
      <w:lvlJc w:val="left"/>
      <w:pPr>
        <w:ind w:left="560" w:hanging="200"/>
      </w:pPr>
    </w:lvl>
    <w:lvl w:ilvl="1" w:tplc="2DBCCFBC">
      <w:numFmt w:val="decimal"/>
      <w:lvlText w:val=""/>
      <w:lvlJc w:val="left"/>
    </w:lvl>
    <w:lvl w:ilvl="2" w:tplc="072A0F42">
      <w:numFmt w:val="decimal"/>
      <w:lvlText w:val=""/>
      <w:lvlJc w:val="left"/>
    </w:lvl>
    <w:lvl w:ilvl="3" w:tplc="D82A4C2C">
      <w:numFmt w:val="decimal"/>
      <w:lvlText w:val=""/>
      <w:lvlJc w:val="left"/>
    </w:lvl>
    <w:lvl w:ilvl="4" w:tplc="83B4FEFC">
      <w:numFmt w:val="decimal"/>
      <w:lvlText w:val=""/>
      <w:lvlJc w:val="left"/>
    </w:lvl>
    <w:lvl w:ilvl="5" w:tplc="B6CEB060">
      <w:numFmt w:val="decimal"/>
      <w:lvlText w:val=""/>
      <w:lvlJc w:val="left"/>
    </w:lvl>
    <w:lvl w:ilvl="6" w:tplc="F5322FD2">
      <w:numFmt w:val="decimal"/>
      <w:lvlText w:val=""/>
      <w:lvlJc w:val="left"/>
    </w:lvl>
    <w:lvl w:ilvl="7" w:tplc="0DA032D8">
      <w:numFmt w:val="decimal"/>
      <w:lvlText w:val=""/>
      <w:lvlJc w:val="left"/>
    </w:lvl>
    <w:lvl w:ilvl="8" w:tplc="0706E4F6">
      <w:numFmt w:val="decimal"/>
      <w:lvlText w:val=""/>
      <w:lvlJc w:val="left"/>
    </w:lvl>
  </w:abstractNum>
  <w:abstractNum w:abstractNumId="2" w15:restartNumberingAfterBreak="0">
    <w:nsid w:val="4E596F61"/>
    <w:multiLevelType w:val="hybridMultilevel"/>
    <w:tmpl w:val="3E50DDD6"/>
    <w:lvl w:ilvl="0" w:tplc="0636C0CE">
      <w:start w:val="1"/>
      <w:numFmt w:val="bullet"/>
      <w:lvlText w:val="•"/>
      <w:lvlJc w:val="left"/>
      <w:pPr>
        <w:ind w:left="320" w:hanging="220"/>
      </w:pPr>
    </w:lvl>
    <w:lvl w:ilvl="1" w:tplc="12C6A532">
      <w:numFmt w:val="decimal"/>
      <w:lvlText w:val=""/>
      <w:lvlJc w:val="left"/>
    </w:lvl>
    <w:lvl w:ilvl="2" w:tplc="08248F22">
      <w:numFmt w:val="decimal"/>
      <w:lvlText w:val=""/>
      <w:lvlJc w:val="left"/>
    </w:lvl>
    <w:lvl w:ilvl="3" w:tplc="99749F30">
      <w:numFmt w:val="decimal"/>
      <w:lvlText w:val=""/>
      <w:lvlJc w:val="left"/>
    </w:lvl>
    <w:lvl w:ilvl="4" w:tplc="85B29726">
      <w:numFmt w:val="decimal"/>
      <w:lvlText w:val=""/>
      <w:lvlJc w:val="left"/>
    </w:lvl>
    <w:lvl w:ilvl="5" w:tplc="0CD8255C">
      <w:numFmt w:val="decimal"/>
      <w:lvlText w:val=""/>
      <w:lvlJc w:val="left"/>
    </w:lvl>
    <w:lvl w:ilvl="6" w:tplc="B2284EB6">
      <w:numFmt w:val="decimal"/>
      <w:lvlText w:val=""/>
      <w:lvlJc w:val="left"/>
    </w:lvl>
    <w:lvl w:ilvl="7" w:tplc="1F5092EA">
      <w:numFmt w:val="decimal"/>
      <w:lvlText w:val=""/>
      <w:lvlJc w:val="left"/>
    </w:lvl>
    <w:lvl w:ilvl="8" w:tplc="7EB20C76">
      <w:numFmt w:val="decimal"/>
      <w:lvlText w:val=""/>
      <w:lvlJc w:val="left"/>
    </w:lvl>
  </w:abstractNum>
  <w:num w:numId="1">
    <w:abstractNumId w:val="0"/>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089"/>
    <w:rsid w:val="000652F8"/>
    <w:rsid w:val="0012555E"/>
    <w:rsid w:val="00507089"/>
    <w:rsid w:val="005B2FF9"/>
    <w:rsid w:val="006300EC"/>
    <w:rsid w:val="00D12215"/>
    <w:rsid w:val="00EE12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FFA6F"/>
  <w15:docId w15:val="{8874935D-BFD1-4E09-9D8A-78365460B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262626"/>
        <w:sz w:val="19"/>
        <w:szCs w:val="19"/>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1642</Words>
  <Characters>9362</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winnie@usiu.ac.ke</dc:creator>
  <cp:lastModifiedBy>Winnie N Kibebe</cp:lastModifiedBy>
  <cp:revision>4</cp:revision>
  <dcterms:created xsi:type="dcterms:W3CDTF">2026-07-15T07:29:00Z</dcterms:created>
  <dcterms:modified xsi:type="dcterms:W3CDTF">2026-07-15T07:39:00Z</dcterms:modified>
</cp:coreProperties>
</file>