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C225F" w:rsidRDefault="003D2ABA">
      <w:pPr>
        <w:spacing w:after="60"/>
        <w:jc w:val="center"/>
      </w:pPr>
      <w:bookmarkStart w:id="0" w:name="_GoBack"/>
      <w:bookmarkEnd w:id="0"/>
      <w:r>
        <w:rPr>
          <w:b/>
          <w:bCs/>
          <w:color w:val="1F3864"/>
          <w:sz w:val="34"/>
          <w:szCs w:val="34"/>
        </w:rPr>
        <w:t>ISMS CONTEXT DOCUMENT</w:t>
      </w:r>
    </w:p>
    <w:p w:rsidR="004C225F" w:rsidRDefault="003D2ABA">
      <w:pPr>
        <w:pBdr>
          <w:bottom w:val="single" w:sz="12" w:space="4" w:color="1F3864"/>
        </w:pBdr>
        <w:spacing w:after="40"/>
        <w:jc w:val="center"/>
      </w:pPr>
      <w:r>
        <w:rPr>
          <w:color w:val="595959"/>
          <w:sz w:val="17"/>
          <w:szCs w:val="17"/>
        </w:rPr>
        <w:t xml:space="preserve">Tumaini Capital </w:t>
      </w:r>
      <w:proofErr w:type="gramStart"/>
      <w:r>
        <w:rPr>
          <w:color w:val="595959"/>
          <w:sz w:val="17"/>
          <w:szCs w:val="17"/>
        </w:rPr>
        <w:t>Ltd  |</w:t>
      </w:r>
      <w:proofErr w:type="gramEnd"/>
      <w:r>
        <w:rPr>
          <w:color w:val="595959"/>
          <w:sz w:val="17"/>
          <w:szCs w:val="17"/>
        </w:rPr>
        <w:t xml:space="preserve">  ISO/IEC 27001:2022  |  Clauses 4.1 &amp; 4.2  |  Prepared by: Head of Risk &amp; Compliance  |  June 2026  |  Fictional case study</w:t>
      </w:r>
    </w:p>
    <w:p w:rsidR="004C225F" w:rsidRDefault="004C225F">
      <w:pPr>
        <w:spacing w:after="160"/>
      </w:pPr>
    </w:p>
    <w:p w:rsidR="004C225F" w:rsidRDefault="003D2ABA">
      <w:pPr>
        <w:spacing w:after="80"/>
      </w:pPr>
      <w:r>
        <w:t>This document fulfils the requirements of Clauses 4.1 and 4.2 of ISO/IEC 27001:2022. It provides a structured analysis of the external and internal context in which Tumaini Capital Ltd operates, and identifies the interested parties whose requirements are relevant to the Information Security Management System. The outputs of this analysis directly inform the ISMS scope (Clause 4.3), the information security risk assessment (Clause 6.1), and the setting of information security objectives (Clause 6.2).</w:t>
      </w:r>
    </w:p>
    <w:p w:rsidR="004C225F" w:rsidRDefault="004C225F">
      <w:pPr>
        <w:spacing w:after="60"/>
      </w:pPr>
    </w:p>
    <w:p w:rsidR="004C225F" w:rsidRDefault="003D2ABA">
      <w:pPr>
        <w:pBdr>
          <w:bottom w:val="single" w:sz="8" w:space="3" w:color="B8923A"/>
          <w:right w:val="single" w:sz="24" w:space="8" w:color="1F3864"/>
        </w:pBdr>
        <w:spacing w:before="300" w:after="80"/>
        <w:ind w:left="160"/>
      </w:pPr>
      <w:r>
        <w:rPr>
          <w:b/>
          <w:bCs/>
          <w:color w:val="1F3864"/>
          <w:sz w:val="23"/>
          <w:szCs w:val="23"/>
        </w:rPr>
        <w:t>CLAUSE 4.1 — UNDERSTANDING THE ORGANIZATION AND ITS CONTEXT</w:t>
      </w:r>
    </w:p>
    <w:p w:rsidR="004C225F" w:rsidRDefault="003D2ABA">
      <w:pPr>
        <w:spacing w:after="120"/>
      </w:pPr>
      <w:r>
        <w:t xml:space="preserve">The following tables identify the external and internal issues that are relevant to Tumaini Capital's purpose and that affect the ISMS achieving its intended outcomes. Issues are assessed for significance (High / Medium / Low) to </w:t>
      </w:r>
      <w:r w:rsidR="002706F0">
        <w:t>prioritize</w:t>
      </w:r>
      <w:r>
        <w:t xml:space="preserve"> their treatment in the risk assessment.</w:t>
      </w:r>
    </w:p>
    <w:p w:rsidR="004C225F" w:rsidRDefault="003D2ABA">
      <w:pPr>
        <w:pBdr>
          <w:bottom w:val="single" w:sz="4" w:space="2" w:color="B8923A"/>
        </w:pBdr>
        <w:spacing w:before="180" w:after="60"/>
      </w:pPr>
      <w:r>
        <w:rPr>
          <w:b/>
          <w:bCs/>
          <w:color w:val="1F3864"/>
          <w:sz w:val="20"/>
          <w:szCs w:val="20"/>
        </w:rPr>
        <w:t>4.1a — External Issues (PESTLE Analysis)</w:t>
      </w:r>
    </w:p>
    <w:p w:rsidR="004C225F" w:rsidRDefault="004C225F">
      <w:pPr>
        <w:spacing w:after="40"/>
      </w:pP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1"/>
        <w:gridCol w:w="3591"/>
        <w:gridCol w:w="4788"/>
        <w:gridCol w:w="1400"/>
      </w:tblGrid>
      <w:tr w:rsidR="004C225F">
        <w:trPr>
          <w:tblHeader/>
        </w:trPr>
        <w:tc>
          <w:tcPr>
            <w:tcW w:w="1400" w:type="dxa"/>
            <w:tcBorders>
              <w:top w:val="single" w:sz="2" w:space="0" w:color="B8923A"/>
              <w:left w:val="single" w:sz="2" w:space="0" w:color="B8923A"/>
              <w:bottom w:val="single" w:sz="2" w:space="0" w:color="B8923A"/>
              <w:right w:val="single" w:sz="2" w:space="0" w:color="B8923A"/>
            </w:tcBorders>
            <w:shd w:val="clear" w:color="auto" w:fill="B8923A"/>
            <w:tcMar>
              <w:top w:w="80" w:type="dxa"/>
              <w:left w:w="120" w:type="dxa"/>
              <w:bottom w:w="80" w:type="dxa"/>
              <w:right w:w="120" w:type="dxa"/>
            </w:tcMar>
          </w:tcPr>
          <w:p w:rsidR="004C225F" w:rsidRDefault="003D2ABA">
            <w:r>
              <w:rPr>
                <w:b/>
                <w:bCs/>
                <w:color w:val="FFFFFF"/>
                <w:sz w:val="18"/>
                <w:szCs w:val="18"/>
              </w:rPr>
              <w:t>Category</w:t>
            </w:r>
          </w:p>
        </w:tc>
        <w:tc>
          <w:tcPr>
            <w:tcW w:w="3600" w:type="dxa"/>
            <w:tcBorders>
              <w:top w:val="single" w:sz="2" w:space="0" w:color="B8923A"/>
              <w:left w:val="single" w:sz="2" w:space="0" w:color="B8923A"/>
              <w:bottom w:val="single" w:sz="2" w:space="0" w:color="B8923A"/>
              <w:right w:val="single" w:sz="2" w:space="0" w:color="B8923A"/>
            </w:tcBorders>
            <w:shd w:val="clear" w:color="auto" w:fill="B8923A"/>
            <w:tcMar>
              <w:top w:w="80" w:type="dxa"/>
              <w:left w:w="120" w:type="dxa"/>
              <w:bottom w:w="80" w:type="dxa"/>
              <w:right w:w="120" w:type="dxa"/>
            </w:tcMar>
          </w:tcPr>
          <w:p w:rsidR="004C225F" w:rsidRDefault="003D2ABA">
            <w:r>
              <w:rPr>
                <w:b/>
                <w:bCs/>
                <w:color w:val="FFFFFF"/>
                <w:sz w:val="18"/>
                <w:szCs w:val="18"/>
              </w:rPr>
              <w:t>Issue / Context</w:t>
            </w:r>
          </w:p>
        </w:tc>
        <w:tc>
          <w:tcPr>
            <w:tcW w:w="4800" w:type="dxa"/>
            <w:tcBorders>
              <w:top w:val="single" w:sz="2" w:space="0" w:color="B8923A"/>
              <w:left w:val="single" w:sz="2" w:space="0" w:color="B8923A"/>
              <w:bottom w:val="single" w:sz="2" w:space="0" w:color="B8923A"/>
              <w:right w:val="single" w:sz="2" w:space="0" w:color="B8923A"/>
            </w:tcBorders>
            <w:shd w:val="clear" w:color="auto" w:fill="B8923A"/>
            <w:tcMar>
              <w:top w:w="80" w:type="dxa"/>
              <w:left w:w="120" w:type="dxa"/>
              <w:bottom w:w="80" w:type="dxa"/>
              <w:right w:w="120" w:type="dxa"/>
            </w:tcMar>
          </w:tcPr>
          <w:p w:rsidR="004C225F" w:rsidRDefault="003D2ABA">
            <w:r>
              <w:rPr>
                <w:b/>
                <w:bCs/>
                <w:color w:val="FFFFFF"/>
                <w:sz w:val="18"/>
                <w:szCs w:val="18"/>
              </w:rPr>
              <w:t>Information Security Implication</w:t>
            </w:r>
          </w:p>
        </w:tc>
        <w:tc>
          <w:tcPr>
            <w:tcW w:w="1400" w:type="dxa"/>
            <w:tcBorders>
              <w:top w:val="single" w:sz="2" w:space="0" w:color="B8923A"/>
              <w:left w:val="single" w:sz="2" w:space="0" w:color="B8923A"/>
              <w:bottom w:val="single" w:sz="2" w:space="0" w:color="B8923A"/>
              <w:right w:val="single" w:sz="2" w:space="0" w:color="B8923A"/>
            </w:tcBorders>
            <w:shd w:val="clear" w:color="auto" w:fill="B8923A"/>
            <w:tcMar>
              <w:top w:w="80" w:type="dxa"/>
              <w:left w:w="120" w:type="dxa"/>
              <w:bottom w:w="80" w:type="dxa"/>
              <w:right w:w="120" w:type="dxa"/>
            </w:tcMar>
          </w:tcPr>
          <w:p w:rsidR="004C225F" w:rsidRDefault="003D2ABA">
            <w:r>
              <w:rPr>
                <w:b/>
                <w:bCs/>
                <w:color w:val="FFFFFF"/>
                <w:sz w:val="18"/>
                <w:szCs w:val="18"/>
              </w:rPr>
              <w:t>Significance</w:t>
            </w:r>
          </w:p>
        </w:tc>
      </w:tr>
      <w:tr w:rsidR="004C225F">
        <w:tc>
          <w:tcPr>
            <w:tcW w:w="1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b/>
                <w:bCs/>
                <w:sz w:val="17"/>
                <w:szCs w:val="17"/>
              </w:rPr>
              <w:t>Political / Legal</w:t>
            </w:r>
          </w:p>
        </w:tc>
        <w:tc>
          <w:tcPr>
            <w:tcW w:w="3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Office of the Data Protection Commissioner (ODPC) increasing enforcement under the Data Protection Act, 2019</w:t>
            </w:r>
          </w:p>
        </w:tc>
        <w:tc>
          <w:tcPr>
            <w:tcW w:w="48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Mandatory data processing records, breach notification obligations, lawful basis requirements; non-compliance risks fines and reputational damage.</w:t>
            </w:r>
          </w:p>
        </w:tc>
        <w:tc>
          <w:tcPr>
            <w:tcW w:w="1400" w:type="dxa"/>
            <w:tcBorders>
              <w:top w:val="single" w:sz="2" w:space="0" w:color="D9D9D9"/>
              <w:left w:val="single" w:sz="2" w:space="0" w:color="D9D9D9"/>
              <w:bottom w:val="single" w:sz="2" w:space="0" w:color="D9D9D9"/>
              <w:right w:val="single" w:sz="2" w:space="0" w:color="D9D9D9"/>
            </w:tcBorders>
            <w:shd w:val="clear" w:color="auto" w:fill="D6EAD6"/>
            <w:tcMar>
              <w:top w:w="80" w:type="dxa"/>
              <w:left w:w="120" w:type="dxa"/>
              <w:bottom w:w="80" w:type="dxa"/>
              <w:right w:w="120" w:type="dxa"/>
            </w:tcMar>
          </w:tcPr>
          <w:p w:rsidR="004C225F" w:rsidRDefault="003D2ABA">
            <w:pPr>
              <w:jc w:val="center"/>
            </w:pPr>
            <w:r>
              <w:rPr>
                <w:b/>
                <w:bCs/>
                <w:color w:val="1A5C1A"/>
                <w:sz w:val="16"/>
                <w:szCs w:val="16"/>
              </w:rPr>
              <w:t>HIGH</w:t>
            </w:r>
          </w:p>
        </w:tc>
      </w:tr>
      <w:tr w:rsidR="004C225F">
        <w:tc>
          <w:tcPr>
            <w:tcW w:w="1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b/>
                <w:bCs/>
                <w:sz w:val="17"/>
                <w:szCs w:val="17"/>
              </w:rPr>
              <w:t>Political / Legal</w:t>
            </w:r>
          </w:p>
        </w:tc>
        <w:tc>
          <w:tcPr>
            <w:tcW w:w="3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Central Bank of Kenya (CBK) oversight of digital lenders and mobile credit products</w:t>
            </w:r>
          </w:p>
        </w:tc>
        <w:tc>
          <w:tcPr>
            <w:tcW w:w="48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Regulatory expectations around customer data handling and platform security may expand; non-compliance could restrict licensing.</w:t>
            </w:r>
          </w:p>
        </w:tc>
        <w:tc>
          <w:tcPr>
            <w:tcW w:w="1400" w:type="dxa"/>
            <w:tcBorders>
              <w:top w:val="single" w:sz="2" w:space="0" w:color="D9D9D9"/>
              <w:left w:val="single" w:sz="2" w:space="0" w:color="D9D9D9"/>
              <w:bottom w:val="single" w:sz="2" w:space="0" w:color="D9D9D9"/>
              <w:right w:val="single" w:sz="2" w:space="0" w:color="D9D9D9"/>
            </w:tcBorders>
            <w:shd w:val="clear" w:color="auto" w:fill="D6EAD6"/>
            <w:tcMar>
              <w:top w:w="80" w:type="dxa"/>
              <w:left w:w="120" w:type="dxa"/>
              <w:bottom w:w="80" w:type="dxa"/>
              <w:right w:w="120" w:type="dxa"/>
            </w:tcMar>
          </w:tcPr>
          <w:p w:rsidR="004C225F" w:rsidRDefault="003D2ABA">
            <w:pPr>
              <w:jc w:val="center"/>
            </w:pPr>
            <w:r>
              <w:rPr>
                <w:b/>
                <w:bCs/>
                <w:color w:val="1A5C1A"/>
                <w:sz w:val="16"/>
                <w:szCs w:val="16"/>
              </w:rPr>
              <w:t>HIGH</w:t>
            </w:r>
          </w:p>
        </w:tc>
      </w:tr>
      <w:tr w:rsidR="004C225F">
        <w:tc>
          <w:tcPr>
            <w:tcW w:w="1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b/>
                <w:bCs/>
                <w:sz w:val="17"/>
                <w:szCs w:val="17"/>
              </w:rPr>
              <w:t>Political / Legal</w:t>
            </w:r>
          </w:p>
        </w:tc>
        <w:tc>
          <w:tcPr>
            <w:tcW w:w="3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Computer Misuse and Cybercrimes Act, 2018</w:t>
            </w:r>
          </w:p>
        </w:tc>
        <w:tc>
          <w:tcPr>
            <w:tcW w:w="48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Legal liability for unauthorized access to or disclosure of customer data; relevant to incident response obligations.</w:t>
            </w:r>
          </w:p>
        </w:tc>
        <w:tc>
          <w:tcPr>
            <w:tcW w:w="1400" w:type="dxa"/>
            <w:tcBorders>
              <w:top w:val="single" w:sz="2" w:space="0" w:color="D9D9D9"/>
              <w:left w:val="single" w:sz="2" w:space="0" w:color="D9D9D9"/>
              <w:bottom w:val="single" w:sz="2" w:space="0" w:color="D9D9D9"/>
              <w:right w:val="single" w:sz="2" w:space="0" w:color="D9D9D9"/>
            </w:tcBorders>
            <w:shd w:val="clear" w:color="auto" w:fill="FBF6EA"/>
            <w:tcMar>
              <w:top w:w="80" w:type="dxa"/>
              <w:left w:w="120" w:type="dxa"/>
              <w:bottom w:w="80" w:type="dxa"/>
              <w:right w:w="120" w:type="dxa"/>
            </w:tcMar>
          </w:tcPr>
          <w:p w:rsidR="004C225F" w:rsidRDefault="003D2ABA">
            <w:pPr>
              <w:jc w:val="center"/>
            </w:pPr>
            <w:r>
              <w:rPr>
                <w:b/>
                <w:bCs/>
                <w:color w:val="7A5C10"/>
                <w:sz w:val="16"/>
                <w:szCs w:val="16"/>
              </w:rPr>
              <w:t>MEDIUM</w:t>
            </w:r>
          </w:p>
        </w:tc>
      </w:tr>
      <w:tr w:rsidR="004C225F">
        <w:tc>
          <w:tcPr>
            <w:tcW w:w="1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b/>
                <w:bCs/>
                <w:sz w:val="17"/>
                <w:szCs w:val="17"/>
              </w:rPr>
              <w:t>Economic</w:t>
            </w:r>
          </w:p>
        </w:tc>
        <w:tc>
          <w:tcPr>
            <w:tcW w:w="3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Growing Kenyan digital lending sector attracting increased regulatory scrutiny and cybercriminal targeting</w:t>
            </w:r>
          </w:p>
        </w:tc>
        <w:tc>
          <w:tcPr>
            <w:tcW w:w="48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Higher threat actor interest in fintech platforms holding financial and KYC data; increased probability of targeted attacks.</w:t>
            </w:r>
          </w:p>
        </w:tc>
        <w:tc>
          <w:tcPr>
            <w:tcW w:w="1400" w:type="dxa"/>
            <w:tcBorders>
              <w:top w:val="single" w:sz="2" w:space="0" w:color="D9D9D9"/>
              <w:left w:val="single" w:sz="2" w:space="0" w:color="D9D9D9"/>
              <w:bottom w:val="single" w:sz="2" w:space="0" w:color="D9D9D9"/>
              <w:right w:val="single" w:sz="2" w:space="0" w:color="D9D9D9"/>
            </w:tcBorders>
            <w:shd w:val="clear" w:color="auto" w:fill="D6EAD6"/>
            <w:tcMar>
              <w:top w:w="80" w:type="dxa"/>
              <w:left w:w="120" w:type="dxa"/>
              <w:bottom w:w="80" w:type="dxa"/>
              <w:right w:w="120" w:type="dxa"/>
            </w:tcMar>
          </w:tcPr>
          <w:p w:rsidR="004C225F" w:rsidRDefault="003D2ABA">
            <w:pPr>
              <w:jc w:val="center"/>
            </w:pPr>
            <w:r>
              <w:rPr>
                <w:b/>
                <w:bCs/>
                <w:color w:val="1A5C1A"/>
                <w:sz w:val="16"/>
                <w:szCs w:val="16"/>
              </w:rPr>
              <w:t>HIGH</w:t>
            </w:r>
          </w:p>
        </w:tc>
      </w:tr>
      <w:tr w:rsidR="004C225F">
        <w:tc>
          <w:tcPr>
            <w:tcW w:w="1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b/>
                <w:bCs/>
                <w:sz w:val="17"/>
                <w:szCs w:val="17"/>
              </w:rPr>
              <w:t>Economic</w:t>
            </w:r>
          </w:p>
        </w:tc>
        <w:tc>
          <w:tcPr>
            <w:tcW w:w="3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Banking partner white-label deal contingent on ISO 27001 certification</w:t>
            </w:r>
          </w:p>
        </w:tc>
        <w:tc>
          <w:tcPr>
            <w:tcW w:w="48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Failure to certify within 12 months delays or loses a direct revenue stream; certification is a commercial prerequisite.</w:t>
            </w:r>
          </w:p>
        </w:tc>
        <w:tc>
          <w:tcPr>
            <w:tcW w:w="1400" w:type="dxa"/>
            <w:tcBorders>
              <w:top w:val="single" w:sz="2" w:space="0" w:color="D9D9D9"/>
              <w:left w:val="single" w:sz="2" w:space="0" w:color="D9D9D9"/>
              <w:bottom w:val="single" w:sz="2" w:space="0" w:color="D9D9D9"/>
              <w:right w:val="single" w:sz="2" w:space="0" w:color="D9D9D9"/>
            </w:tcBorders>
            <w:shd w:val="clear" w:color="auto" w:fill="D6EAD6"/>
            <w:tcMar>
              <w:top w:w="80" w:type="dxa"/>
              <w:left w:w="120" w:type="dxa"/>
              <w:bottom w:w="80" w:type="dxa"/>
              <w:right w:w="120" w:type="dxa"/>
            </w:tcMar>
          </w:tcPr>
          <w:p w:rsidR="004C225F" w:rsidRDefault="003D2ABA">
            <w:pPr>
              <w:jc w:val="center"/>
            </w:pPr>
            <w:r>
              <w:rPr>
                <w:b/>
                <w:bCs/>
                <w:color w:val="1A5C1A"/>
                <w:sz w:val="16"/>
                <w:szCs w:val="16"/>
              </w:rPr>
              <w:t>HIGH</w:t>
            </w:r>
          </w:p>
        </w:tc>
      </w:tr>
      <w:tr w:rsidR="004C225F">
        <w:tc>
          <w:tcPr>
            <w:tcW w:w="1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b/>
                <w:bCs/>
                <w:sz w:val="17"/>
                <w:szCs w:val="17"/>
              </w:rPr>
              <w:t>Social / Market</w:t>
            </w:r>
          </w:p>
        </w:tc>
        <w:tc>
          <w:tcPr>
            <w:tcW w:w="3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Rising customer awareness of data privacy rights following ODPC communications campaigns</w:t>
            </w:r>
          </w:p>
        </w:tc>
        <w:tc>
          <w:tcPr>
            <w:tcW w:w="48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Borrower complaints or subject access requests may increase; CRM and data management controls must be able to respond promptly.</w:t>
            </w:r>
          </w:p>
        </w:tc>
        <w:tc>
          <w:tcPr>
            <w:tcW w:w="1400" w:type="dxa"/>
            <w:tcBorders>
              <w:top w:val="single" w:sz="2" w:space="0" w:color="D9D9D9"/>
              <w:left w:val="single" w:sz="2" w:space="0" w:color="D9D9D9"/>
              <w:bottom w:val="single" w:sz="2" w:space="0" w:color="D9D9D9"/>
              <w:right w:val="single" w:sz="2" w:space="0" w:color="D9D9D9"/>
            </w:tcBorders>
            <w:shd w:val="clear" w:color="auto" w:fill="FBF6EA"/>
            <w:tcMar>
              <w:top w:w="80" w:type="dxa"/>
              <w:left w:w="120" w:type="dxa"/>
              <w:bottom w:w="80" w:type="dxa"/>
              <w:right w:w="120" w:type="dxa"/>
            </w:tcMar>
          </w:tcPr>
          <w:p w:rsidR="004C225F" w:rsidRDefault="003D2ABA">
            <w:pPr>
              <w:jc w:val="center"/>
            </w:pPr>
            <w:r>
              <w:rPr>
                <w:b/>
                <w:bCs/>
                <w:color w:val="7A5C10"/>
                <w:sz w:val="16"/>
                <w:szCs w:val="16"/>
              </w:rPr>
              <w:t>MEDIUM</w:t>
            </w:r>
          </w:p>
        </w:tc>
      </w:tr>
      <w:tr w:rsidR="004C225F">
        <w:tc>
          <w:tcPr>
            <w:tcW w:w="1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b/>
                <w:bCs/>
                <w:sz w:val="17"/>
                <w:szCs w:val="17"/>
              </w:rPr>
              <w:t>Technology</w:t>
            </w:r>
          </w:p>
        </w:tc>
        <w:tc>
          <w:tcPr>
            <w:tcW w:w="3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Evolving threat landscape — phishing, credential theft, and social engineering targeting mobile-first financial services</w:t>
            </w:r>
          </w:p>
        </w:tc>
        <w:tc>
          <w:tcPr>
            <w:tcW w:w="48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Staff and customer-facing surfaces (USSD, app, email) are active attack vectors; awareness training and MFA controls are critical.</w:t>
            </w:r>
          </w:p>
        </w:tc>
        <w:tc>
          <w:tcPr>
            <w:tcW w:w="1400" w:type="dxa"/>
            <w:tcBorders>
              <w:top w:val="single" w:sz="2" w:space="0" w:color="D9D9D9"/>
              <w:left w:val="single" w:sz="2" w:space="0" w:color="D9D9D9"/>
              <w:bottom w:val="single" w:sz="2" w:space="0" w:color="D9D9D9"/>
              <w:right w:val="single" w:sz="2" w:space="0" w:color="D9D9D9"/>
            </w:tcBorders>
            <w:shd w:val="clear" w:color="auto" w:fill="D6EAD6"/>
            <w:tcMar>
              <w:top w:w="80" w:type="dxa"/>
              <w:left w:w="120" w:type="dxa"/>
              <w:bottom w:w="80" w:type="dxa"/>
              <w:right w:w="120" w:type="dxa"/>
            </w:tcMar>
          </w:tcPr>
          <w:p w:rsidR="004C225F" w:rsidRDefault="003D2ABA">
            <w:pPr>
              <w:jc w:val="center"/>
            </w:pPr>
            <w:r>
              <w:rPr>
                <w:b/>
                <w:bCs/>
                <w:color w:val="1A5C1A"/>
                <w:sz w:val="16"/>
                <w:szCs w:val="16"/>
              </w:rPr>
              <w:t>HIGH</w:t>
            </w:r>
          </w:p>
        </w:tc>
      </w:tr>
      <w:tr w:rsidR="004C225F">
        <w:tc>
          <w:tcPr>
            <w:tcW w:w="1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b/>
                <w:bCs/>
                <w:sz w:val="17"/>
                <w:szCs w:val="17"/>
              </w:rPr>
              <w:t>Technology</w:t>
            </w:r>
          </w:p>
        </w:tc>
        <w:tc>
          <w:tcPr>
            <w:tcW w:w="3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Shared responsibility model in AWS cloud infrastructure (eu-west-1)</w:t>
            </w:r>
          </w:p>
        </w:tc>
        <w:tc>
          <w:tcPr>
            <w:tcW w:w="48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Physical/environmental security is AWS's responsibility; logical configuration, access control, and data encryption remain Tumaini's. Misconfiguration is the primary cloud risk.</w:t>
            </w:r>
          </w:p>
        </w:tc>
        <w:tc>
          <w:tcPr>
            <w:tcW w:w="1400" w:type="dxa"/>
            <w:tcBorders>
              <w:top w:val="single" w:sz="2" w:space="0" w:color="D9D9D9"/>
              <w:left w:val="single" w:sz="2" w:space="0" w:color="D9D9D9"/>
              <w:bottom w:val="single" w:sz="2" w:space="0" w:color="D9D9D9"/>
              <w:right w:val="single" w:sz="2" w:space="0" w:color="D9D9D9"/>
            </w:tcBorders>
            <w:shd w:val="clear" w:color="auto" w:fill="D6EAD6"/>
            <w:tcMar>
              <w:top w:w="80" w:type="dxa"/>
              <w:left w:w="120" w:type="dxa"/>
              <w:bottom w:w="80" w:type="dxa"/>
              <w:right w:w="120" w:type="dxa"/>
            </w:tcMar>
          </w:tcPr>
          <w:p w:rsidR="004C225F" w:rsidRDefault="003D2ABA">
            <w:pPr>
              <w:jc w:val="center"/>
            </w:pPr>
            <w:r>
              <w:rPr>
                <w:b/>
                <w:bCs/>
                <w:color w:val="1A5C1A"/>
                <w:sz w:val="16"/>
                <w:szCs w:val="16"/>
              </w:rPr>
              <w:t>HIGH</w:t>
            </w:r>
          </w:p>
        </w:tc>
      </w:tr>
      <w:tr w:rsidR="004C225F">
        <w:tc>
          <w:tcPr>
            <w:tcW w:w="1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b/>
                <w:bCs/>
                <w:sz w:val="17"/>
                <w:szCs w:val="17"/>
              </w:rPr>
              <w:t>Technology</w:t>
            </w:r>
          </w:p>
        </w:tc>
        <w:tc>
          <w:tcPr>
            <w:tcW w:w="3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Third-party API dependencies (Safaricom M-Pesa, credit reference bureaus)</w:t>
            </w:r>
          </w:p>
        </w:tc>
        <w:tc>
          <w:tcPr>
            <w:tcW w:w="48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Outages or security incidents at third parties could affect availability or integrity of transactions; supplier risk management is required.</w:t>
            </w:r>
          </w:p>
        </w:tc>
        <w:tc>
          <w:tcPr>
            <w:tcW w:w="1400" w:type="dxa"/>
            <w:tcBorders>
              <w:top w:val="single" w:sz="2" w:space="0" w:color="D9D9D9"/>
              <w:left w:val="single" w:sz="2" w:space="0" w:color="D9D9D9"/>
              <w:bottom w:val="single" w:sz="2" w:space="0" w:color="D9D9D9"/>
              <w:right w:val="single" w:sz="2" w:space="0" w:color="D9D9D9"/>
            </w:tcBorders>
            <w:shd w:val="clear" w:color="auto" w:fill="FBF6EA"/>
            <w:tcMar>
              <w:top w:w="80" w:type="dxa"/>
              <w:left w:w="120" w:type="dxa"/>
              <w:bottom w:w="80" w:type="dxa"/>
              <w:right w:w="120" w:type="dxa"/>
            </w:tcMar>
          </w:tcPr>
          <w:p w:rsidR="004C225F" w:rsidRDefault="003D2ABA">
            <w:pPr>
              <w:jc w:val="center"/>
            </w:pPr>
            <w:r>
              <w:rPr>
                <w:b/>
                <w:bCs/>
                <w:color w:val="7A5C10"/>
                <w:sz w:val="16"/>
                <w:szCs w:val="16"/>
              </w:rPr>
              <w:t>MEDIUM</w:t>
            </w:r>
          </w:p>
        </w:tc>
      </w:tr>
      <w:tr w:rsidR="004C225F">
        <w:tc>
          <w:tcPr>
            <w:tcW w:w="1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b/>
                <w:bCs/>
                <w:sz w:val="17"/>
                <w:szCs w:val="17"/>
              </w:rPr>
              <w:lastRenderedPageBreak/>
              <w:t>Environmental</w:t>
            </w:r>
          </w:p>
        </w:tc>
        <w:tc>
          <w:tcPr>
            <w:tcW w:w="3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Power reliability in Kenya — dependency on grid stability for Kisumu office connectivity</w:t>
            </w:r>
          </w:p>
        </w:tc>
        <w:tc>
          <w:tcPr>
            <w:tcW w:w="48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Potential availability impact on systems accessed from Kisumu; business continuity and backup connectivity controls needed.</w:t>
            </w:r>
          </w:p>
        </w:tc>
        <w:tc>
          <w:tcPr>
            <w:tcW w:w="1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pPr>
              <w:jc w:val="center"/>
            </w:pPr>
            <w:r>
              <w:rPr>
                <w:b/>
                <w:bCs/>
                <w:color w:val="595959"/>
                <w:sz w:val="16"/>
                <w:szCs w:val="16"/>
              </w:rPr>
              <w:t>LOW</w:t>
            </w:r>
          </w:p>
        </w:tc>
      </w:tr>
    </w:tbl>
    <w:p w:rsidR="004C225F" w:rsidRDefault="004C225F">
      <w:pPr>
        <w:spacing w:after="60"/>
      </w:pPr>
    </w:p>
    <w:p w:rsidR="004C225F" w:rsidRDefault="003D2ABA">
      <w:pPr>
        <w:pBdr>
          <w:bottom w:val="single" w:sz="4" w:space="2" w:color="B8923A"/>
        </w:pBdr>
        <w:spacing w:before="180" w:after="60"/>
      </w:pPr>
      <w:r>
        <w:rPr>
          <w:b/>
          <w:bCs/>
          <w:color w:val="1F3864"/>
          <w:sz w:val="20"/>
          <w:szCs w:val="20"/>
        </w:rPr>
        <w:t>4.1b — Internal Issues</w:t>
      </w:r>
    </w:p>
    <w:p w:rsidR="004C225F" w:rsidRDefault="004C225F">
      <w:pPr>
        <w:spacing w:after="40"/>
      </w:pP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4800"/>
        <w:gridCol w:w="1400"/>
      </w:tblGrid>
      <w:tr w:rsidR="004C225F">
        <w:trPr>
          <w:tblHeader/>
        </w:trPr>
        <w:tc>
          <w:tcPr>
            <w:tcW w:w="1400" w:type="dxa"/>
            <w:tcBorders>
              <w:top w:val="single" w:sz="2" w:space="0" w:color="B8923A"/>
              <w:left w:val="single" w:sz="2" w:space="0" w:color="B8923A"/>
              <w:bottom w:val="single" w:sz="2" w:space="0" w:color="B8923A"/>
              <w:right w:val="single" w:sz="2" w:space="0" w:color="B8923A"/>
            </w:tcBorders>
            <w:shd w:val="clear" w:color="auto" w:fill="B8923A"/>
            <w:tcMar>
              <w:top w:w="80" w:type="dxa"/>
              <w:left w:w="120" w:type="dxa"/>
              <w:bottom w:w="80" w:type="dxa"/>
              <w:right w:w="120" w:type="dxa"/>
            </w:tcMar>
          </w:tcPr>
          <w:p w:rsidR="004C225F" w:rsidRDefault="003D2ABA">
            <w:r>
              <w:rPr>
                <w:b/>
                <w:bCs/>
                <w:color w:val="FFFFFF"/>
                <w:sz w:val="18"/>
                <w:szCs w:val="18"/>
              </w:rPr>
              <w:t>Category</w:t>
            </w:r>
          </w:p>
        </w:tc>
        <w:tc>
          <w:tcPr>
            <w:tcW w:w="3600" w:type="dxa"/>
            <w:tcBorders>
              <w:top w:val="single" w:sz="2" w:space="0" w:color="B8923A"/>
              <w:left w:val="single" w:sz="2" w:space="0" w:color="B8923A"/>
              <w:bottom w:val="single" w:sz="2" w:space="0" w:color="B8923A"/>
              <w:right w:val="single" w:sz="2" w:space="0" w:color="B8923A"/>
            </w:tcBorders>
            <w:shd w:val="clear" w:color="auto" w:fill="B8923A"/>
            <w:tcMar>
              <w:top w:w="80" w:type="dxa"/>
              <w:left w:w="120" w:type="dxa"/>
              <w:bottom w:w="80" w:type="dxa"/>
              <w:right w:w="120" w:type="dxa"/>
            </w:tcMar>
          </w:tcPr>
          <w:p w:rsidR="004C225F" w:rsidRDefault="003D2ABA">
            <w:r>
              <w:rPr>
                <w:b/>
                <w:bCs/>
                <w:color w:val="FFFFFF"/>
                <w:sz w:val="18"/>
                <w:szCs w:val="18"/>
              </w:rPr>
              <w:t>Issue / Context</w:t>
            </w:r>
          </w:p>
        </w:tc>
        <w:tc>
          <w:tcPr>
            <w:tcW w:w="4800" w:type="dxa"/>
            <w:tcBorders>
              <w:top w:val="single" w:sz="2" w:space="0" w:color="B8923A"/>
              <w:left w:val="single" w:sz="2" w:space="0" w:color="B8923A"/>
              <w:bottom w:val="single" w:sz="2" w:space="0" w:color="B8923A"/>
              <w:right w:val="single" w:sz="2" w:space="0" w:color="B8923A"/>
            </w:tcBorders>
            <w:shd w:val="clear" w:color="auto" w:fill="B8923A"/>
            <w:tcMar>
              <w:top w:w="80" w:type="dxa"/>
              <w:left w:w="120" w:type="dxa"/>
              <w:bottom w:w="80" w:type="dxa"/>
              <w:right w:w="120" w:type="dxa"/>
            </w:tcMar>
          </w:tcPr>
          <w:p w:rsidR="004C225F" w:rsidRDefault="003D2ABA">
            <w:r>
              <w:rPr>
                <w:b/>
                <w:bCs/>
                <w:color w:val="FFFFFF"/>
                <w:sz w:val="18"/>
                <w:szCs w:val="18"/>
              </w:rPr>
              <w:t>Information Security Implication</w:t>
            </w:r>
          </w:p>
        </w:tc>
        <w:tc>
          <w:tcPr>
            <w:tcW w:w="1400" w:type="dxa"/>
            <w:tcBorders>
              <w:top w:val="single" w:sz="2" w:space="0" w:color="B8923A"/>
              <w:left w:val="single" w:sz="2" w:space="0" w:color="B8923A"/>
              <w:bottom w:val="single" w:sz="2" w:space="0" w:color="B8923A"/>
              <w:right w:val="single" w:sz="2" w:space="0" w:color="B8923A"/>
            </w:tcBorders>
            <w:shd w:val="clear" w:color="auto" w:fill="B8923A"/>
            <w:tcMar>
              <w:top w:w="80" w:type="dxa"/>
              <w:left w:w="120" w:type="dxa"/>
              <w:bottom w:w="80" w:type="dxa"/>
              <w:right w:w="120" w:type="dxa"/>
            </w:tcMar>
          </w:tcPr>
          <w:p w:rsidR="004C225F" w:rsidRDefault="003D2ABA">
            <w:r>
              <w:rPr>
                <w:b/>
                <w:bCs/>
                <w:color w:val="FFFFFF"/>
                <w:sz w:val="18"/>
                <w:szCs w:val="18"/>
              </w:rPr>
              <w:t>Significance</w:t>
            </w:r>
          </w:p>
        </w:tc>
      </w:tr>
      <w:tr w:rsidR="004C225F">
        <w:tc>
          <w:tcPr>
            <w:tcW w:w="1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b/>
                <w:bCs/>
                <w:sz w:val="17"/>
                <w:szCs w:val="17"/>
              </w:rPr>
              <w:t>People</w:t>
            </w:r>
          </w:p>
        </w:tc>
        <w:tc>
          <w:tcPr>
            <w:tcW w:w="3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No dedicated information security role; responsibilities informally split between Head of Risk &amp; Compliance and Head of Engineering</w:t>
            </w:r>
          </w:p>
        </w:tc>
        <w:tc>
          <w:tcPr>
            <w:tcW w:w="48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No single accountable owner for ISMS; risk of security tasks falling between departments. Addressed by formally appointing ISMS Lead.</w:t>
            </w:r>
          </w:p>
        </w:tc>
        <w:tc>
          <w:tcPr>
            <w:tcW w:w="1400" w:type="dxa"/>
            <w:tcBorders>
              <w:top w:val="single" w:sz="2" w:space="0" w:color="D9D9D9"/>
              <w:left w:val="single" w:sz="2" w:space="0" w:color="D9D9D9"/>
              <w:bottom w:val="single" w:sz="2" w:space="0" w:color="D9D9D9"/>
              <w:right w:val="single" w:sz="2" w:space="0" w:color="D9D9D9"/>
            </w:tcBorders>
            <w:shd w:val="clear" w:color="auto" w:fill="D6EAD6"/>
            <w:tcMar>
              <w:top w:w="80" w:type="dxa"/>
              <w:left w:w="120" w:type="dxa"/>
              <w:bottom w:w="80" w:type="dxa"/>
              <w:right w:w="120" w:type="dxa"/>
            </w:tcMar>
          </w:tcPr>
          <w:p w:rsidR="004C225F" w:rsidRDefault="003D2ABA">
            <w:pPr>
              <w:jc w:val="center"/>
            </w:pPr>
            <w:r>
              <w:rPr>
                <w:b/>
                <w:bCs/>
                <w:color w:val="1A5C1A"/>
                <w:sz w:val="16"/>
                <w:szCs w:val="16"/>
              </w:rPr>
              <w:t>HIGH</w:t>
            </w:r>
          </w:p>
        </w:tc>
      </w:tr>
      <w:tr w:rsidR="004C225F">
        <w:tc>
          <w:tcPr>
            <w:tcW w:w="1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b/>
                <w:bCs/>
                <w:sz w:val="17"/>
                <w:szCs w:val="17"/>
              </w:rPr>
              <w:t>People</w:t>
            </w:r>
          </w:p>
        </w:tc>
        <w:tc>
          <w:tcPr>
            <w:tcW w:w="3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85 staff, mix of technical and non-technical; heavy reliance on BYOD phones for business communication</w:t>
            </w:r>
          </w:p>
        </w:tc>
        <w:tc>
          <w:tcPr>
            <w:tcW w:w="48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Human error and social engineering are realistic attack vectors; security awareness training and acceptable use controls are required.</w:t>
            </w:r>
          </w:p>
        </w:tc>
        <w:tc>
          <w:tcPr>
            <w:tcW w:w="1400" w:type="dxa"/>
            <w:tcBorders>
              <w:top w:val="single" w:sz="2" w:space="0" w:color="D9D9D9"/>
              <w:left w:val="single" w:sz="2" w:space="0" w:color="D9D9D9"/>
              <w:bottom w:val="single" w:sz="2" w:space="0" w:color="D9D9D9"/>
              <w:right w:val="single" w:sz="2" w:space="0" w:color="D9D9D9"/>
            </w:tcBorders>
            <w:shd w:val="clear" w:color="auto" w:fill="FBF6EA"/>
            <w:tcMar>
              <w:top w:w="80" w:type="dxa"/>
              <w:left w:w="120" w:type="dxa"/>
              <w:bottom w:w="80" w:type="dxa"/>
              <w:right w:w="120" w:type="dxa"/>
            </w:tcMar>
          </w:tcPr>
          <w:p w:rsidR="004C225F" w:rsidRDefault="003D2ABA">
            <w:pPr>
              <w:jc w:val="center"/>
            </w:pPr>
            <w:r>
              <w:rPr>
                <w:b/>
                <w:bCs/>
                <w:color w:val="7A5C10"/>
                <w:sz w:val="16"/>
                <w:szCs w:val="16"/>
              </w:rPr>
              <w:t>MEDIUM</w:t>
            </w:r>
          </w:p>
        </w:tc>
      </w:tr>
      <w:tr w:rsidR="004C225F">
        <w:tc>
          <w:tcPr>
            <w:tcW w:w="1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b/>
                <w:bCs/>
                <w:sz w:val="17"/>
                <w:szCs w:val="17"/>
              </w:rPr>
              <w:t>Process</w:t>
            </w:r>
          </w:p>
        </w:tc>
        <w:tc>
          <w:tcPr>
            <w:tcW w:w="3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Unresolved offboarding control gap — ex-employee CRM access not revoked promptly, resulting in unauthorized data export (8 months ago)</w:t>
            </w:r>
          </w:p>
        </w:tc>
        <w:tc>
          <w:tcPr>
            <w:tcW w:w="48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Formal, documented joiner/mover/leaver access control process with mandatory deactivation within 24 hours of exit is a priority control.</w:t>
            </w:r>
          </w:p>
        </w:tc>
        <w:tc>
          <w:tcPr>
            <w:tcW w:w="1400" w:type="dxa"/>
            <w:tcBorders>
              <w:top w:val="single" w:sz="2" w:space="0" w:color="D9D9D9"/>
              <w:left w:val="single" w:sz="2" w:space="0" w:color="D9D9D9"/>
              <w:bottom w:val="single" w:sz="2" w:space="0" w:color="D9D9D9"/>
              <w:right w:val="single" w:sz="2" w:space="0" w:color="D9D9D9"/>
            </w:tcBorders>
            <w:shd w:val="clear" w:color="auto" w:fill="D6EAD6"/>
            <w:tcMar>
              <w:top w:w="80" w:type="dxa"/>
              <w:left w:w="120" w:type="dxa"/>
              <w:bottom w:w="80" w:type="dxa"/>
              <w:right w:w="120" w:type="dxa"/>
            </w:tcMar>
          </w:tcPr>
          <w:p w:rsidR="004C225F" w:rsidRDefault="003D2ABA">
            <w:pPr>
              <w:jc w:val="center"/>
            </w:pPr>
            <w:r>
              <w:rPr>
                <w:b/>
                <w:bCs/>
                <w:color w:val="1A5C1A"/>
                <w:sz w:val="16"/>
                <w:szCs w:val="16"/>
              </w:rPr>
              <w:t>HIGH</w:t>
            </w:r>
          </w:p>
        </w:tc>
      </w:tr>
      <w:tr w:rsidR="004C225F">
        <w:tc>
          <w:tcPr>
            <w:tcW w:w="1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b/>
                <w:bCs/>
                <w:sz w:val="17"/>
                <w:szCs w:val="17"/>
              </w:rPr>
              <w:t>Process</w:t>
            </w:r>
          </w:p>
        </w:tc>
        <w:tc>
          <w:tcPr>
            <w:tcW w:w="3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Security responsibilities and escalation paths not formally documented</w:t>
            </w:r>
          </w:p>
        </w:tc>
        <w:tc>
          <w:tcPr>
            <w:tcW w:w="48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Incident response and policy enforcement rely on informal norms; ISMS will formalize these through documented procedures and roles.</w:t>
            </w:r>
          </w:p>
        </w:tc>
        <w:tc>
          <w:tcPr>
            <w:tcW w:w="1400" w:type="dxa"/>
            <w:tcBorders>
              <w:top w:val="single" w:sz="2" w:space="0" w:color="D9D9D9"/>
              <w:left w:val="single" w:sz="2" w:space="0" w:color="D9D9D9"/>
              <w:bottom w:val="single" w:sz="2" w:space="0" w:color="D9D9D9"/>
              <w:right w:val="single" w:sz="2" w:space="0" w:color="D9D9D9"/>
            </w:tcBorders>
            <w:shd w:val="clear" w:color="auto" w:fill="FBF6EA"/>
            <w:tcMar>
              <w:top w:w="80" w:type="dxa"/>
              <w:left w:w="120" w:type="dxa"/>
              <w:bottom w:w="80" w:type="dxa"/>
              <w:right w:w="120" w:type="dxa"/>
            </w:tcMar>
          </w:tcPr>
          <w:p w:rsidR="004C225F" w:rsidRDefault="003D2ABA">
            <w:pPr>
              <w:jc w:val="center"/>
            </w:pPr>
            <w:r>
              <w:rPr>
                <w:b/>
                <w:bCs/>
                <w:color w:val="7A5C10"/>
                <w:sz w:val="16"/>
                <w:szCs w:val="16"/>
              </w:rPr>
              <w:t>MEDIUM</w:t>
            </w:r>
          </w:p>
        </w:tc>
      </w:tr>
      <w:tr w:rsidR="004C225F">
        <w:tc>
          <w:tcPr>
            <w:tcW w:w="1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b/>
                <w:bCs/>
                <w:sz w:val="17"/>
                <w:szCs w:val="17"/>
              </w:rPr>
              <w:t>Technology</w:t>
            </w:r>
          </w:p>
        </w:tc>
        <w:tc>
          <w:tcPr>
            <w:tcW w:w="3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Core platform hosted on AWS eu-west-1 (outside Kenya); data residency and latency considerations</w:t>
            </w:r>
          </w:p>
        </w:tc>
        <w:tc>
          <w:tcPr>
            <w:tcW w:w="48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 xml:space="preserve">ODPC's data </w:t>
            </w:r>
            <w:r w:rsidR="00E76426">
              <w:rPr>
                <w:sz w:val="17"/>
                <w:szCs w:val="17"/>
              </w:rPr>
              <w:t>localization</w:t>
            </w:r>
            <w:r>
              <w:rPr>
                <w:sz w:val="17"/>
                <w:szCs w:val="17"/>
              </w:rPr>
              <w:t xml:space="preserve"> guidance is evolving; data residency must be monitored. Current setup must be documented and risk-assessed.</w:t>
            </w:r>
          </w:p>
        </w:tc>
        <w:tc>
          <w:tcPr>
            <w:tcW w:w="1400" w:type="dxa"/>
            <w:tcBorders>
              <w:top w:val="single" w:sz="2" w:space="0" w:color="D9D9D9"/>
              <w:left w:val="single" w:sz="2" w:space="0" w:color="D9D9D9"/>
              <w:bottom w:val="single" w:sz="2" w:space="0" w:color="D9D9D9"/>
              <w:right w:val="single" w:sz="2" w:space="0" w:color="D9D9D9"/>
            </w:tcBorders>
            <w:shd w:val="clear" w:color="auto" w:fill="FBF6EA"/>
            <w:tcMar>
              <w:top w:w="80" w:type="dxa"/>
              <w:left w:w="120" w:type="dxa"/>
              <w:bottom w:w="80" w:type="dxa"/>
              <w:right w:w="120" w:type="dxa"/>
            </w:tcMar>
          </w:tcPr>
          <w:p w:rsidR="004C225F" w:rsidRDefault="003D2ABA">
            <w:pPr>
              <w:jc w:val="center"/>
            </w:pPr>
            <w:r>
              <w:rPr>
                <w:b/>
                <w:bCs/>
                <w:color w:val="7A5C10"/>
                <w:sz w:val="16"/>
                <w:szCs w:val="16"/>
              </w:rPr>
              <w:t>MEDIUM</w:t>
            </w:r>
          </w:p>
        </w:tc>
      </w:tr>
      <w:tr w:rsidR="004C225F">
        <w:tc>
          <w:tcPr>
            <w:tcW w:w="1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b/>
                <w:bCs/>
                <w:sz w:val="17"/>
                <w:szCs w:val="17"/>
              </w:rPr>
              <w:t>Technology</w:t>
            </w:r>
          </w:p>
        </w:tc>
        <w:tc>
          <w:tcPr>
            <w:tcW w:w="3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IT support partly outsourced to an external MSP (laptop provisioning, office network)</w:t>
            </w:r>
          </w:p>
        </w:tc>
        <w:tc>
          <w:tcPr>
            <w:tcW w:w="48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MSP has physical and logical access to company devices and network; supplier risk management and contractual controls are required.</w:t>
            </w:r>
          </w:p>
        </w:tc>
        <w:tc>
          <w:tcPr>
            <w:tcW w:w="1400" w:type="dxa"/>
            <w:tcBorders>
              <w:top w:val="single" w:sz="2" w:space="0" w:color="D9D9D9"/>
              <w:left w:val="single" w:sz="2" w:space="0" w:color="D9D9D9"/>
              <w:bottom w:val="single" w:sz="2" w:space="0" w:color="D9D9D9"/>
              <w:right w:val="single" w:sz="2" w:space="0" w:color="D9D9D9"/>
            </w:tcBorders>
            <w:shd w:val="clear" w:color="auto" w:fill="FBF6EA"/>
            <w:tcMar>
              <w:top w:w="80" w:type="dxa"/>
              <w:left w:w="120" w:type="dxa"/>
              <w:bottom w:w="80" w:type="dxa"/>
              <w:right w:w="120" w:type="dxa"/>
            </w:tcMar>
          </w:tcPr>
          <w:p w:rsidR="004C225F" w:rsidRDefault="003D2ABA">
            <w:pPr>
              <w:jc w:val="center"/>
            </w:pPr>
            <w:r>
              <w:rPr>
                <w:b/>
                <w:bCs/>
                <w:color w:val="7A5C10"/>
                <w:sz w:val="16"/>
                <w:szCs w:val="16"/>
              </w:rPr>
              <w:t>MEDIUM</w:t>
            </w:r>
          </w:p>
        </w:tc>
      </w:tr>
      <w:tr w:rsidR="004C225F">
        <w:tc>
          <w:tcPr>
            <w:tcW w:w="1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b/>
                <w:bCs/>
                <w:sz w:val="17"/>
                <w:szCs w:val="17"/>
              </w:rPr>
              <w:t>Governance</w:t>
            </w:r>
          </w:p>
        </w:tc>
        <w:tc>
          <w:tcPr>
            <w:tcW w:w="3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Flat organizational structure; no formal ISMS governance structure (steering committee, documented roles and responsibilities)</w:t>
            </w:r>
          </w:p>
        </w:tc>
        <w:tc>
          <w:tcPr>
            <w:tcW w:w="48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ISMS require defined governance: ISMS Lead, top management sponsor, departmental security champions. Structure must be established early.</w:t>
            </w:r>
          </w:p>
        </w:tc>
        <w:tc>
          <w:tcPr>
            <w:tcW w:w="1400" w:type="dxa"/>
            <w:tcBorders>
              <w:top w:val="single" w:sz="2" w:space="0" w:color="D9D9D9"/>
              <w:left w:val="single" w:sz="2" w:space="0" w:color="D9D9D9"/>
              <w:bottom w:val="single" w:sz="2" w:space="0" w:color="D9D9D9"/>
              <w:right w:val="single" w:sz="2" w:space="0" w:color="D9D9D9"/>
            </w:tcBorders>
            <w:shd w:val="clear" w:color="auto" w:fill="D6EAD6"/>
            <w:tcMar>
              <w:top w:w="80" w:type="dxa"/>
              <w:left w:w="120" w:type="dxa"/>
              <w:bottom w:w="80" w:type="dxa"/>
              <w:right w:w="120" w:type="dxa"/>
            </w:tcMar>
          </w:tcPr>
          <w:p w:rsidR="004C225F" w:rsidRDefault="003D2ABA">
            <w:pPr>
              <w:jc w:val="center"/>
            </w:pPr>
            <w:r>
              <w:rPr>
                <w:b/>
                <w:bCs/>
                <w:color w:val="1A5C1A"/>
                <w:sz w:val="16"/>
                <w:szCs w:val="16"/>
              </w:rPr>
              <w:t>HIGH</w:t>
            </w:r>
          </w:p>
        </w:tc>
      </w:tr>
      <w:tr w:rsidR="004C225F">
        <w:tc>
          <w:tcPr>
            <w:tcW w:w="1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b/>
                <w:bCs/>
                <w:sz w:val="17"/>
                <w:szCs w:val="17"/>
              </w:rPr>
              <w:t>Governance</w:t>
            </w:r>
          </w:p>
        </w:tc>
        <w:tc>
          <w:tcPr>
            <w:tcW w:w="3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12-month certification timeline is tight given limited dedicated security headcount</w:t>
            </w:r>
          </w:p>
        </w:tc>
        <w:tc>
          <w:tcPr>
            <w:tcW w:w="48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Under-resourcing is an internal risk to the project itself; management commitment to releasing staff time is a dependency.</w:t>
            </w:r>
          </w:p>
        </w:tc>
        <w:tc>
          <w:tcPr>
            <w:tcW w:w="1400" w:type="dxa"/>
            <w:tcBorders>
              <w:top w:val="single" w:sz="2" w:space="0" w:color="D9D9D9"/>
              <w:left w:val="single" w:sz="2" w:space="0" w:color="D9D9D9"/>
              <w:bottom w:val="single" w:sz="2" w:space="0" w:color="D9D9D9"/>
              <w:right w:val="single" w:sz="2" w:space="0" w:color="D9D9D9"/>
            </w:tcBorders>
            <w:shd w:val="clear" w:color="auto" w:fill="FBF6EA"/>
            <w:tcMar>
              <w:top w:w="80" w:type="dxa"/>
              <w:left w:w="120" w:type="dxa"/>
              <w:bottom w:w="80" w:type="dxa"/>
              <w:right w:w="120" w:type="dxa"/>
            </w:tcMar>
          </w:tcPr>
          <w:p w:rsidR="004C225F" w:rsidRDefault="003D2ABA">
            <w:pPr>
              <w:jc w:val="center"/>
            </w:pPr>
            <w:r>
              <w:rPr>
                <w:b/>
                <w:bCs/>
                <w:color w:val="7A5C10"/>
                <w:sz w:val="16"/>
                <w:szCs w:val="16"/>
              </w:rPr>
              <w:t>MEDIUM</w:t>
            </w:r>
          </w:p>
        </w:tc>
      </w:tr>
    </w:tbl>
    <w:p w:rsidR="004C225F" w:rsidRDefault="004C225F">
      <w:pPr>
        <w:spacing w:after="40"/>
      </w:pPr>
    </w:p>
    <w:p w:rsidR="004C225F" w:rsidRDefault="003D2ABA">
      <w:pPr>
        <w:spacing w:before="80" w:after="40"/>
      </w:pPr>
      <w:r>
        <w:rPr>
          <w:b/>
          <w:bCs/>
          <w:color w:val="1F3864"/>
          <w:sz w:val="17"/>
          <w:szCs w:val="17"/>
        </w:rPr>
        <w:t xml:space="preserve">Significance key:  </w:t>
      </w:r>
      <w:proofErr w:type="gramStart"/>
      <w:r>
        <w:rPr>
          <w:b/>
          <w:bCs/>
          <w:color w:val="1A5C1A"/>
          <w:sz w:val="17"/>
          <w:szCs w:val="17"/>
        </w:rPr>
        <w:t xml:space="preserve">HIGH  </w:t>
      </w:r>
      <w:r>
        <w:rPr>
          <w:sz w:val="17"/>
          <w:szCs w:val="17"/>
        </w:rPr>
        <w:t>=</w:t>
      </w:r>
      <w:proofErr w:type="gramEnd"/>
      <w:r>
        <w:rPr>
          <w:sz w:val="17"/>
          <w:szCs w:val="17"/>
        </w:rPr>
        <w:t xml:space="preserve"> requires direct ISMS control;  </w:t>
      </w:r>
      <w:r>
        <w:rPr>
          <w:b/>
          <w:bCs/>
          <w:color w:val="7A5C10"/>
          <w:sz w:val="17"/>
          <w:szCs w:val="17"/>
        </w:rPr>
        <w:t xml:space="preserve">MEDIUM  </w:t>
      </w:r>
      <w:r>
        <w:rPr>
          <w:sz w:val="17"/>
          <w:szCs w:val="17"/>
        </w:rPr>
        <w:t xml:space="preserve">= monitor and address in risk treatment;  </w:t>
      </w:r>
      <w:r>
        <w:rPr>
          <w:b/>
          <w:bCs/>
          <w:color w:val="595959"/>
          <w:sz w:val="17"/>
          <w:szCs w:val="17"/>
        </w:rPr>
        <w:t xml:space="preserve">LOW  </w:t>
      </w:r>
      <w:r>
        <w:rPr>
          <w:sz w:val="17"/>
          <w:szCs w:val="17"/>
        </w:rPr>
        <w:t>= note and review periodically.</w:t>
      </w:r>
    </w:p>
    <w:p w:rsidR="004C225F" w:rsidRDefault="003D2ABA">
      <w:r>
        <w:br/>
      </w:r>
    </w:p>
    <w:p w:rsidR="003D2ABA" w:rsidRDefault="003D2ABA"/>
    <w:p w:rsidR="003D2ABA" w:rsidRDefault="003D2ABA"/>
    <w:p w:rsidR="004C225F" w:rsidRDefault="003D2ABA">
      <w:pPr>
        <w:pBdr>
          <w:bottom w:val="single" w:sz="8" w:space="3" w:color="B8923A"/>
          <w:right w:val="single" w:sz="24" w:space="8" w:color="1F3864"/>
        </w:pBdr>
        <w:spacing w:before="300" w:after="80"/>
        <w:ind w:left="160"/>
      </w:pPr>
      <w:r>
        <w:rPr>
          <w:b/>
          <w:bCs/>
          <w:color w:val="1F3864"/>
          <w:sz w:val="23"/>
          <w:szCs w:val="23"/>
        </w:rPr>
        <w:lastRenderedPageBreak/>
        <w:t>CLAUSE 4.2 — NEEDS AND EXPECTATIONS OF INTERESTED PARTIES</w:t>
      </w:r>
    </w:p>
    <w:p w:rsidR="004C225F" w:rsidRDefault="003D2ABA">
      <w:pPr>
        <w:spacing w:after="120"/>
      </w:pPr>
      <w:r>
        <w:t>The following table identifies the parties relevant to Tumaini Capital's ISMS and their specific information security requirements. These requirements drive control selection, policy obligations, and monitoring mechanisms throughout the ISMS lifecycle.</w:t>
      </w:r>
    </w:p>
    <w:p w:rsidR="004C225F" w:rsidRDefault="004C225F">
      <w:pPr>
        <w:spacing w:after="40"/>
      </w:pP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3400"/>
        <w:gridCol w:w="2000"/>
        <w:gridCol w:w="2400"/>
      </w:tblGrid>
      <w:tr w:rsidR="004C225F">
        <w:trPr>
          <w:tblHeader/>
        </w:trPr>
        <w:tc>
          <w:tcPr>
            <w:tcW w:w="2200" w:type="dxa"/>
            <w:tcBorders>
              <w:top w:val="single" w:sz="2" w:space="0" w:color="B8923A"/>
              <w:left w:val="single" w:sz="2" w:space="0" w:color="B8923A"/>
              <w:bottom w:val="single" w:sz="2" w:space="0" w:color="B8923A"/>
              <w:right w:val="single" w:sz="2" w:space="0" w:color="B8923A"/>
            </w:tcBorders>
            <w:shd w:val="clear" w:color="auto" w:fill="B8923A"/>
            <w:tcMar>
              <w:top w:w="80" w:type="dxa"/>
              <w:left w:w="120" w:type="dxa"/>
              <w:bottom w:w="80" w:type="dxa"/>
              <w:right w:w="120" w:type="dxa"/>
            </w:tcMar>
          </w:tcPr>
          <w:p w:rsidR="004C225F" w:rsidRDefault="003D2ABA">
            <w:r>
              <w:rPr>
                <w:b/>
                <w:bCs/>
                <w:color w:val="FFFFFF"/>
                <w:sz w:val="18"/>
                <w:szCs w:val="18"/>
              </w:rPr>
              <w:t>Interested Party</w:t>
            </w:r>
          </w:p>
        </w:tc>
        <w:tc>
          <w:tcPr>
            <w:tcW w:w="1200" w:type="dxa"/>
            <w:tcBorders>
              <w:top w:val="single" w:sz="2" w:space="0" w:color="B8923A"/>
              <w:left w:val="single" w:sz="2" w:space="0" w:color="B8923A"/>
              <w:bottom w:val="single" w:sz="2" w:space="0" w:color="B8923A"/>
              <w:right w:val="single" w:sz="2" w:space="0" w:color="B8923A"/>
            </w:tcBorders>
            <w:shd w:val="clear" w:color="auto" w:fill="B8923A"/>
            <w:tcMar>
              <w:top w:w="80" w:type="dxa"/>
              <w:left w:w="120" w:type="dxa"/>
              <w:bottom w:w="80" w:type="dxa"/>
              <w:right w:w="120" w:type="dxa"/>
            </w:tcMar>
          </w:tcPr>
          <w:p w:rsidR="004C225F" w:rsidRDefault="003D2ABA">
            <w:r>
              <w:rPr>
                <w:b/>
                <w:bCs/>
                <w:color w:val="FFFFFF"/>
                <w:sz w:val="18"/>
                <w:szCs w:val="18"/>
              </w:rPr>
              <w:t>Category</w:t>
            </w:r>
          </w:p>
        </w:tc>
        <w:tc>
          <w:tcPr>
            <w:tcW w:w="3400" w:type="dxa"/>
            <w:tcBorders>
              <w:top w:val="single" w:sz="2" w:space="0" w:color="B8923A"/>
              <w:left w:val="single" w:sz="2" w:space="0" w:color="B8923A"/>
              <w:bottom w:val="single" w:sz="2" w:space="0" w:color="B8923A"/>
              <w:right w:val="single" w:sz="2" w:space="0" w:color="B8923A"/>
            </w:tcBorders>
            <w:shd w:val="clear" w:color="auto" w:fill="B8923A"/>
            <w:tcMar>
              <w:top w:w="80" w:type="dxa"/>
              <w:left w:w="120" w:type="dxa"/>
              <w:bottom w:w="80" w:type="dxa"/>
              <w:right w:w="120" w:type="dxa"/>
            </w:tcMar>
          </w:tcPr>
          <w:p w:rsidR="004C225F" w:rsidRDefault="003D2ABA">
            <w:r>
              <w:rPr>
                <w:b/>
                <w:bCs/>
                <w:color w:val="FFFFFF"/>
                <w:sz w:val="18"/>
                <w:szCs w:val="18"/>
              </w:rPr>
              <w:t>Information Security Requirements</w:t>
            </w:r>
          </w:p>
        </w:tc>
        <w:tc>
          <w:tcPr>
            <w:tcW w:w="2000" w:type="dxa"/>
            <w:tcBorders>
              <w:top w:val="single" w:sz="2" w:space="0" w:color="B8923A"/>
              <w:left w:val="single" w:sz="2" w:space="0" w:color="B8923A"/>
              <w:bottom w:val="single" w:sz="2" w:space="0" w:color="B8923A"/>
              <w:right w:val="single" w:sz="2" w:space="0" w:color="B8923A"/>
            </w:tcBorders>
            <w:shd w:val="clear" w:color="auto" w:fill="B8923A"/>
            <w:tcMar>
              <w:top w:w="80" w:type="dxa"/>
              <w:left w:w="120" w:type="dxa"/>
              <w:bottom w:w="80" w:type="dxa"/>
              <w:right w:w="120" w:type="dxa"/>
            </w:tcMar>
          </w:tcPr>
          <w:p w:rsidR="004C225F" w:rsidRDefault="003D2ABA">
            <w:r>
              <w:rPr>
                <w:b/>
                <w:bCs/>
                <w:color w:val="FFFFFF"/>
                <w:sz w:val="18"/>
                <w:szCs w:val="18"/>
              </w:rPr>
              <w:t>Risk if Requirements Not Met</w:t>
            </w:r>
          </w:p>
        </w:tc>
        <w:tc>
          <w:tcPr>
            <w:tcW w:w="2400" w:type="dxa"/>
            <w:tcBorders>
              <w:top w:val="single" w:sz="2" w:space="0" w:color="B8923A"/>
              <w:left w:val="single" w:sz="2" w:space="0" w:color="B8923A"/>
              <w:bottom w:val="single" w:sz="2" w:space="0" w:color="B8923A"/>
              <w:right w:val="single" w:sz="2" w:space="0" w:color="B8923A"/>
            </w:tcBorders>
            <w:shd w:val="clear" w:color="auto" w:fill="B8923A"/>
            <w:tcMar>
              <w:top w:w="80" w:type="dxa"/>
              <w:left w:w="120" w:type="dxa"/>
              <w:bottom w:w="80" w:type="dxa"/>
              <w:right w:w="120" w:type="dxa"/>
            </w:tcMar>
          </w:tcPr>
          <w:p w:rsidR="004C225F" w:rsidRDefault="003D2ABA">
            <w:r>
              <w:rPr>
                <w:b/>
                <w:bCs/>
                <w:color w:val="FFFFFF"/>
                <w:sz w:val="18"/>
                <w:szCs w:val="18"/>
              </w:rPr>
              <w:t>How Monitored / Addressed</w:t>
            </w:r>
          </w:p>
        </w:tc>
      </w:tr>
      <w:tr w:rsidR="004C225F">
        <w:tc>
          <w:tcPr>
            <w:tcW w:w="22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b/>
                <w:bCs/>
                <w:sz w:val="17"/>
                <w:szCs w:val="17"/>
              </w:rPr>
              <w:t>Office of the Data Protection Commissioner (ODPC)</w:t>
            </w:r>
          </w:p>
        </w:tc>
        <w:tc>
          <w:tcPr>
            <w:tcW w:w="12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i/>
                <w:iCs/>
                <w:sz w:val="17"/>
                <w:szCs w:val="17"/>
              </w:rPr>
              <w:t>Regulator</w:t>
            </w:r>
          </w:p>
        </w:tc>
        <w:tc>
          <w:tcPr>
            <w:tcW w:w="3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pPr>
              <w:spacing w:after="40"/>
            </w:pPr>
            <w:r>
              <w:rPr>
                <w:sz w:val="17"/>
                <w:szCs w:val="17"/>
              </w:rPr>
              <w:t>Compliance with the Data Protection Act, 2019</w:t>
            </w:r>
          </w:p>
          <w:p w:rsidR="004C225F" w:rsidRDefault="003D2ABA">
            <w:pPr>
              <w:spacing w:after="40"/>
            </w:pPr>
            <w:r>
              <w:rPr>
                <w:sz w:val="17"/>
                <w:szCs w:val="17"/>
              </w:rPr>
              <w:t>Lawful basis for each processing activity</w:t>
            </w:r>
          </w:p>
          <w:p w:rsidR="004C225F" w:rsidRDefault="003D2ABA">
            <w:pPr>
              <w:spacing w:after="40"/>
            </w:pPr>
            <w:r>
              <w:rPr>
                <w:sz w:val="17"/>
                <w:szCs w:val="17"/>
              </w:rPr>
              <w:t>Data breach notification within 72 hours</w:t>
            </w:r>
          </w:p>
          <w:p w:rsidR="004C225F" w:rsidRDefault="003D2ABA">
            <w:pPr>
              <w:spacing w:after="40"/>
            </w:pPr>
            <w:r>
              <w:rPr>
                <w:sz w:val="17"/>
                <w:szCs w:val="17"/>
              </w:rPr>
              <w:t>Documented Records of Processing Activities (ROPA)</w:t>
            </w:r>
          </w:p>
          <w:p w:rsidR="004C225F" w:rsidRDefault="003D2ABA">
            <w:r>
              <w:rPr>
                <w:sz w:val="17"/>
                <w:szCs w:val="17"/>
              </w:rPr>
              <w:t>Rights of data subjects (access, erasure, portability) upheld</w:t>
            </w:r>
          </w:p>
        </w:tc>
        <w:tc>
          <w:tcPr>
            <w:tcW w:w="20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Regulatory enforcement action, fines, reputational damage</w:t>
            </w:r>
          </w:p>
        </w:tc>
        <w:tc>
          <w:tcPr>
            <w:tcW w:w="2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Annual ROPA review; breach notification procedure; data subject request process</w:t>
            </w:r>
          </w:p>
        </w:tc>
      </w:tr>
      <w:tr w:rsidR="004C225F">
        <w:tc>
          <w:tcPr>
            <w:tcW w:w="22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b/>
                <w:bCs/>
                <w:sz w:val="17"/>
                <w:szCs w:val="17"/>
              </w:rPr>
              <w:t>Central Bank of Kenya (CBK)</w:t>
            </w:r>
          </w:p>
        </w:tc>
        <w:tc>
          <w:tcPr>
            <w:tcW w:w="12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i/>
                <w:iCs/>
                <w:sz w:val="17"/>
                <w:szCs w:val="17"/>
              </w:rPr>
              <w:t>Regulator</w:t>
            </w:r>
          </w:p>
        </w:tc>
        <w:tc>
          <w:tcPr>
            <w:tcW w:w="3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pPr>
              <w:spacing w:after="40"/>
            </w:pPr>
            <w:r>
              <w:rPr>
                <w:sz w:val="17"/>
                <w:szCs w:val="17"/>
              </w:rPr>
              <w:t>Platform security controls for licensed digital lenders</w:t>
            </w:r>
          </w:p>
          <w:p w:rsidR="004C225F" w:rsidRDefault="003D2ABA">
            <w:pPr>
              <w:spacing w:after="40"/>
            </w:pPr>
            <w:r>
              <w:rPr>
                <w:sz w:val="17"/>
                <w:szCs w:val="17"/>
              </w:rPr>
              <w:t>Customer financial data protection</w:t>
            </w:r>
          </w:p>
          <w:p w:rsidR="004C225F" w:rsidRDefault="003D2ABA">
            <w:r>
              <w:rPr>
                <w:sz w:val="17"/>
                <w:szCs w:val="17"/>
              </w:rPr>
              <w:t>Operational resilience and availability</w:t>
            </w:r>
          </w:p>
        </w:tc>
        <w:tc>
          <w:tcPr>
            <w:tcW w:w="20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Licensing risk; regulatory direction</w:t>
            </w:r>
          </w:p>
        </w:tc>
        <w:tc>
          <w:tcPr>
            <w:tcW w:w="2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Monitor CBK circulars and digital credit guidelines; align controls with published requirements</w:t>
            </w:r>
          </w:p>
        </w:tc>
      </w:tr>
      <w:tr w:rsidR="004C225F">
        <w:tc>
          <w:tcPr>
            <w:tcW w:w="22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b/>
                <w:bCs/>
                <w:sz w:val="17"/>
                <w:szCs w:val="17"/>
              </w:rPr>
              <w:t>Regional Bank Partner</w:t>
            </w:r>
          </w:p>
        </w:tc>
        <w:tc>
          <w:tcPr>
            <w:tcW w:w="12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i/>
                <w:iCs/>
                <w:sz w:val="17"/>
                <w:szCs w:val="17"/>
              </w:rPr>
              <w:t>Commercial Partner</w:t>
            </w:r>
          </w:p>
        </w:tc>
        <w:tc>
          <w:tcPr>
            <w:tcW w:w="3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pPr>
              <w:spacing w:after="40"/>
            </w:pPr>
            <w:r>
              <w:rPr>
                <w:sz w:val="17"/>
                <w:szCs w:val="17"/>
              </w:rPr>
              <w:t>Evidence of ISO/IEC 27001:2022 certification before data-sharing agreement is signed</w:t>
            </w:r>
          </w:p>
          <w:p w:rsidR="004C225F" w:rsidRDefault="003D2ABA">
            <w:pPr>
              <w:spacing w:after="40"/>
            </w:pPr>
            <w:r>
              <w:rPr>
                <w:sz w:val="17"/>
                <w:szCs w:val="17"/>
              </w:rPr>
              <w:t>Documented security controls over shared customer data</w:t>
            </w:r>
          </w:p>
          <w:p w:rsidR="004C225F" w:rsidRDefault="003D2ABA">
            <w:r>
              <w:rPr>
                <w:sz w:val="17"/>
                <w:szCs w:val="17"/>
              </w:rPr>
              <w:t>Incident notification obligations in the contract</w:t>
            </w:r>
          </w:p>
        </w:tc>
        <w:tc>
          <w:tcPr>
            <w:tcW w:w="20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Loss of white-label revenue deal; partnership stalls</w:t>
            </w:r>
          </w:p>
        </w:tc>
        <w:tc>
          <w:tcPr>
            <w:tcW w:w="2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Certification audit completion; contractual information security clauses in partnership agreement</w:t>
            </w:r>
          </w:p>
        </w:tc>
      </w:tr>
      <w:tr w:rsidR="004C225F">
        <w:tc>
          <w:tcPr>
            <w:tcW w:w="22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b/>
                <w:bCs/>
                <w:sz w:val="17"/>
                <w:szCs w:val="17"/>
              </w:rPr>
              <w:t>Borrowers / Customers</w:t>
            </w:r>
          </w:p>
        </w:tc>
        <w:tc>
          <w:tcPr>
            <w:tcW w:w="12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i/>
                <w:iCs/>
                <w:sz w:val="17"/>
                <w:szCs w:val="17"/>
              </w:rPr>
              <w:t>Customers</w:t>
            </w:r>
          </w:p>
        </w:tc>
        <w:tc>
          <w:tcPr>
            <w:tcW w:w="3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pPr>
              <w:spacing w:after="40"/>
            </w:pPr>
            <w:r>
              <w:rPr>
                <w:sz w:val="17"/>
                <w:szCs w:val="17"/>
              </w:rPr>
              <w:t>Personal and financial data kept confidential</w:t>
            </w:r>
          </w:p>
          <w:p w:rsidR="004C225F" w:rsidRDefault="003D2ABA">
            <w:pPr>
              <w:spacing w:after="40"/>
            </w:pPr>
            <w:r>
              <w:rPr>
                <w:sz w:val="17"/>
                <w:szCs w:val="17"/>
              </w:rPr>
              <w:t>KYC documents not shared without consent or legal basis</w:t>
            </w:r>
          </w:p>
          <w:p w:rsidR="004C225F" w:rsidRDefault="003D2ABA">
            <w:pPr>
              <w:spacing w:after="40"/>
            </w:pPr>
            <w:r>
              <w:rPr>
                <w:sz w:val="17"/>
                <w:szCs w:val="17"/>
              </w:rPr>
              <w:t>Accurate credit reporting</w:t>
            </w:r>
          </w:p>
          <w:p w:rsidR="004C225F" w:rsidRDefault="003D2ABA">
            <w:r>
              <w:rPr>
                <w:sz w:val="17"/>
                <w:szCs w:val="17"/>
              </w:rPr>
              <w:t>Prompt response to data subject access requests</w:t>
            </w:r>
          </w:p>
        </w:tc>
        <w:tc>
          <w:tcPr>
            <w:tcW w:w="20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Complaints to ODPC; reputational damage; churn</w:t>
            </w:r>
          </w:p>
        </w:tc>
        <w:tc>
          <w:tcPr>
            <w:tcW w:w="2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Access control over CRM; data minimization; subject access request procedure</w:t>
            </w:r>
          </w:p>
        </w:tc>
      </w:tr>
      <w:tr w:rsidR="004C225F">
        <w:tc>
          <w:tcPr>
            <w:tcW w:w="22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b/>
                <w:bCs/>
                <w:sz w:val="17"/>
                <w:szCs w:val="17"/>
              </w:rPr>
              <w:t>Safaricom (M-Pesa API)</w:t>
            </w:r>
          </w:p>
        </w:tc>
        <w:tc>
          <w:tcPr>
            <w:tcW w:w="12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i/>
                <w:iCs/>
                <w:sz w:val="17"/>
                <w:szCs w:val="17"/>
              </w:rPr>
              <w:t>Supplier / Third Party</w:t>
            </w:r>
          </w:p>
        </w:tc>
        <w:tc>
          <w:tcPr>
            <w:tcW w:w="3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pPr>
              <w:spacing w:after="40"/>
            </w:pPr>
            <w:r>
              <w:rPr>
                <w:sz w:val="17"/>
                <w:szCs w:val="17"/>
              </w:rPr>
              <w:t>Secure API integration (TLS, authentication)</w:t>
            </w:r>
          </w:p>
          <w:p w:rsidR="004C225F" w:rsidRDefault="003D2ABA">
            <w:pPr>
              <w:spacing w:after="40"/>
            </w:pPr>
            <w:r>
              <w:rPr>
                <w:sz w:val="17"/>
                <w:szCs w:val="17"/>
              </w:rPr>
              <w:t>Compliance with Safaricom API terms of use</w:t>
            </w:r>
          </w:p>
          <w:p w:rsidR="004C225F" w:rsidRDefault="003D2ABA">
            <w:r>
              <w:rPr>
                <w:sz w:val="17"/>
                <w:szCs w:val="17"/>
              </w:rPr>
              <w:t>Incident notification for security events affecting the integration</w:t>
            </w:r>
          </w:p>
        </w:tc>
        <w:tc>
          <w:tcPr>
            <w:tcW w:w="20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Transaction integrity and availability risk</w:t>
            </w:r>
          </w:p>
        </w:tc>
        <w:tc>
          <w:tcPr>
            <w:tcW w:w="2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API security review; supplier risk register; SLA monitoring</w:t>
            </w:r>
          </w:p>
        </w:tc>
      </w:tr>
      <w:tr w:rsidR="004C225F">
        <w:tc>
          <w:tcPr>
            <w:tcW w:w="22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b/>
                <w:bCs/>
                <w:sz w:val="17"/>
                <w:szCs w:val="17"/>
              </w:rPr>
              <w:t xml:space="preserve">Credit Reference Bureaus </w:t>
            </w:r>
          </w:p>
        </w:tc>
        <w:tc>
          <w:tcPr>
            <w:tcW w:w="12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i/>
                <w:iCs/>
                <w:sz w:val="17"/>
                <w:szCs w:val="17"/>
              </w:rPr>
              <w:t>Supplier / Third Party</w:t>
            </w:r>
          </w:p>
        </w:tc>
        <w:tc>
          <w:tcPr>
            <w:tcW w:w="3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pPr>
              <w:spacing w:after="40"/>
            </w:pPr>
            <w:r>
              <w:rPr>
                <w:sz w:val="17"/>
                <w:szCs w:val="17"/>
              </w:rPr>
              <w:t>Authorized and lawful data sharing only</w:t>
            </w:r>
          </w:p>
          <w:p w:rsidR="004C225F" w:rsidRDefault="003D2ABA">
            <w:pPr>
              <w:spacing w:after="40"/>
            </w:pPr>
            <w:r>
              <w:rPr>
                <w:sz w:val="17"/>
                <w:szCs w:val="17"/>
              </w:rPr>
              <w:t>Accurate customer data transmitted</w:t>
            </w:r>
          </w:p>
          <w:p w:rsidR="004C225F" w:rsidRDefault="003D2ABA">
            <w:r>
              <w:rPr>
                <w:sz w:val="17"/>
                <w:szCs w:val="17"/>
              </w:rPr>
              <w:t>Secure transmission (encrypted channels)</w:t>
            </w:r>
          </w:p>
        </w:tc>
        <w:tc>
          <w:tcPr>
            <w:tcW w:w="20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Data integrity risk; regulatory non-compliance if sharing is unauthorized</w:t>
            </w:r>
          </w:p>
        </w:tc>
        <w:tc>
          <w:tcPr>
            <w:tcW w:w="2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Data sharing agreements; access logs; data accuracy controls</w:t>
            </w:r>
          </w:p>
        </w:tc>
      </w:tr>
      <w:tr w:rsidR="004C225F">
        <w:tc>
          <w:tcPr>
            <w:tcW w:w="22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b/>
                <w:bCs/>
                <w:sz w:val="17"/>
                <w:szCs w:val="17"/>
              </w:rPr>
              <w:lastRenderedPageBreak/>
              <w:t>Outsourced IT MSP</w:t>
            </w:r>
          </w:p>
        </w:tc>
        <w:tc>
          <w:tcPr>
            <w:tcW w:w="12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i/>
                <w:iCs/>
                <w:sz w:val="17"/>
                <w:szCs w:val="17"/>
              </w:rPr>
              <w:t>Supplier</w:t>
            </w:r>
          </w:p>
        </w:tc>
        <w:tc>
          <w:tcPr>
            <w:tcW w:w="3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pPr>
              <w:spacing w:after="40"/>
            </w:pPr>
            <w:r>
              <w:rPr>
                <w:sz w:val="17"/>
                <w:szCs w:val="17"/>
              </w:rPr>
              <w:t>Contractual confidentiality obligations</w:t>
            </w:r>
          </w:p>
          <w:p w:rsidR="004C225F" w:rsidRDefault="003D2ABA">
            <w:pPr>
              <w:spacing w:after="40"/>
            </w:pPr>
            <w:r>
              <w:rPr>
                <w:sz w:val="17"/>
                <w:szCs w:val="17"/>
              </w:rPr>
              <w:t>Controlled physical and logical access to company assets</w:t>
            </w:r>
          </w:p>
          <w:p w:rsidR="004C225F" w:rsidRDefault="003D2ABA">
            <w:r>
              <w:rPr>
                <w:sz w:val="17"/>
                <w:szCs w:val="17"/>
              </w:rPr>
              <w:t>Prompt incident escalation to Tumaini Capital</w:t>
            </w:r>
          </w:p>
        </w:tc>
        <w:tc>
          <w:tcPr>
            <w:tcW w:w="20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Insider threat; unauthorized access to devices and network</w:t>
            </w:r>
          </w:p>
        </w:tc>
        <w:tc>
          <w:tcPr>
            <w:tcW w:w="2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Supplier risk assessment; MSP contract review; access rights audit</w:t>
            </w:r>
          </w:p>
        </w:tc>
      </w:tr>
      <w:tr w:rsidR="004C225F">
        <w:tc>
          <w:tcPr>
            <w:tcW w:w="22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b/>
                <w:bCs/>
                <w:sz w:val="17"/>
                <w:szCs w:val="17"/>
              </w:rPr>
              <w:t>Employees</w:t>
            </w:r>
          </w:p>
        </w:tc>
        <w:tc>
          <w:tcPr>
            <w:tcW w:w="12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i/>
                <w:iCs/>
                <w:sz w:val="17"/>
                <w:szCs w:val="17"/>
              </w:rPr>
              <w:t>Internal</w:t>
            </w:r>
          </w:p>
        </w:tc>
        <w:tc>
          <w:tcPr>
            <w:tcW w:w="3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pPr>
              <w:spacing w:after="40"/>
            </w:pPr>
            <w:r>
              <w:rPr>
                <w:sz w:val="17"/>
                <w:szCs w:val="17"/>
              </w:rPr>
              <w:t>Clear security policies and acceptable use guidelines</w:t>
            </w:r>
          </w:p>
          <w:p w:rsidR="004C225F" w:rsidRDefault="003D2ABA">
            <w:pPr>
              <w:spacing w:after="40"/>
            </w:pPr>
            <w:r>
              <w:rPr>
                <w:sz w:val="17"/>
                <w:szCs w:val="17"/>
              </w:rPr>
              <w:t>Security awareness training</w:t>
            </w:r>
          </w:p>
          <w:p w:rsidR="004C225F" w:rsidRDefault="003D2ABA">
            <w:r>
              <w:rPr>
                <w:sz w:val="17"/>
                <w:szCs w:val="17"/>
              </w:rPr>
              <w:t>Safe channel for reporting incidents without fear of blame</w:t>
            </w:r>
          </w:p>
        </w:tc>
        <w:tc>
          <w:tcPr>
            <w:tcW w:w="20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Policy non-compliance; human error</w:t>
            </w:r>
          </w:p>
        </w:tc>
        <w:tc>
          <w:tcPr>
            <w:tcW w:w="2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Annual awareness training; Acceptable Use Policy; incident reporting procedure</w:t>
            </w:r>
          </w:p>
        </w:tc>
      </w:tr>
      <w:tr w:rsidR="004C225F">
        <w:tc>
          <w:tcPr>
            <w:tcW w:w="22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b/>
                <w:bCs/>
                <w:sz w:val="17"/>
                <w:szCs w:val="17"/>
              </w:rPr>
              <w:t>Board / Shareholders</w:t>
            </w:r>
          </w:p>
        </w:tc>
        <w:tc>
          <w:tcPr>
            <w:tcW w:w="12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i/>
                <w:iCs/>
                <w:sz w:val="17"/>
                <w:szCs w:val="17"/>
              </w:rPr>
              <w:t>Internal / Governance</w:t>
            </w:r>
          </w:p>
        </w:tc>
        <w:tc>
          <w:tcPr>
            <w:tcW w:w="3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pPr>
              <w:spacing w:after="40"/>
            </w:pPr>
            <w:r>
              <w:rPr>
                <w:sz w:val="17"/>
                <w:szCs w:val="17"/>
              </w:rPr>
              <w:t>Evidence that information security risk is managed</w:t>
            </w:r>
          </w:p>
          <w:p w:rsidR="004C225F" w:rsidRDefault="003D2ABA">
            <w:pPr>
              <w:spacing w:after="40"/>
            </w:pPr>
            <w:r>
              <w:rPr>
                <w:sz w:val="17"/>
                <w:szCs w:val="17"/>
              </w:rPr>
              <w:t>Regulatory compliance maintained</w:t>
            </w:r>
          </w:p>
          <w:p w:rsidR="004C225F" w:rsidRDefault="003D2ABA">
            <w:r>
              <w:rPr>
                <w:sz w:val="17"/>
                <w:szCs w:val="17"/>
              </w:rPr>
              <w:t>No material incidents that affect company value or reputation</w:t>
            </w:r>
          </w:p>
        </w:tc>
        <w:tc>
          <w:tcPr>
            <w:tcW w:w="20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Loss of investor confidence; governance failure</w:t>
            </w:r>
          </w:p>
        </w:tc>
        <w:tc>
          <w:tcPr>
            <w:tcW w:w="2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Management review outputs; ISMS dashboard; board-level incident reporting</w:t>
            </w:r>
          </w:p>
        </w:tc>
      </w:tr>
    </w:tbl>
    <w:p w:rsidR="004C225F" w:rsidRDefault="004C225F">
      <w:pPr>
        <w:spacing w:after="60"/>
      </w:pPr>
    </w:p>
    <w:p w:rsidR="004C225F" w:rsidRDefault="003D2ABA">
      <w:pPr>
        <w:pBdr>
          <w:top w:val="single" w:sz="4" w:space="4" w:color="D9D9D9"/>
        </w:pBdr>
        <w:spacing w:before="100"/>
        <w:jc w:val="center"/>
      </w:pPr>
      <w:r>
        <w:rPr>
          <w:color w:val="595959"/>
          <w:sz w:val="15"/>
          <w:szCs w:val="15"/>
        </w:rPr>
        <w:t xml:space="preserve">This document is reviewed annually and following any material change to the business, regulatory environment, or ISMS scope.  </w:t>
      </w:r>
      <w:proofErr w:type="gramStart"/>
      <w:r>
        <w:rPr>
          <w:color w:val="595959"/>
          <w:sz w:val="15"/>
          <w:szCs w:val="15"/>
        </w:rPr>
        <w:t>|  Tumaini</w:t>
      </w:r>
      <w:proofErr w:type="gramEnd"/>
      <w:r>
        <w:rPr>
          <w:color w:val="595959"/>
          <w:sz w:val="15"/>
          <w:szCs w:val="15"/>
        </w:rPr>
        <w:t xml:space="preserve"> Capital Ltd — ISO/IEC 27001:2022 ISMS (fictional case study)</w:t>
      </w:r>
    </w:p>
    <w:sectPr w:rsidR="004C225F">
      <w:pgSz w:w="15840" w:h="12240"/>
      <w:pgMar w:top="650" w:right="700" w:bottom="60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D36314"/>
    <w:multiLevelType w:val="hybridMultilevel"/>
    <w:tmpl w:val="9CE47E5E"/>
    <w:lvl w:ilvl="0" w:tplc="82462848">
      <w:start w:val="1"/>
      <w:numFmt w:val="bullet"/>
      <w:lvlText w:val="•"/>
      <w:lvlJc w:val="left"/>
      <w:pPr>
        <w:ind w:left="320" w:hanging="220"/>
      </w:pPr>
    </w:lvl>
    <w:lvl w:ilvl="1" w:tplc="AE2EA906">
      <w:numFmt w:val="decimal"/>
      <w:lvlText w:val=""/>
      <w:lvlJc w:val="left"/>
    </w:lvl>
    <w:lvl w:ilvl="2" w:tplc="FFA4C75E">
      <w:numFmt w:val="decimal"/>
      <w:lvlText w:val=""/>
      <w:lvlJc w:val="left"/>
    </w:lvl>
    <w:lvl w:ilvl="3" w:tplc="E9AC2A24">
      <w:numFmt w:val="decimal"/>
      <w:lvlText w:val=""/>
      <w:lvlJc w:val="left"/>
    </w:lvl>
    <w:lvl w:ilvl="4" w:tplc="19D0AC8A">
      <w:numFmt w:val="decimal"/>
      <w:lvlText w:val=""/>
      <w:lvlJc w:val="left"/>
    </w:lvl>
    <w:lvl w:ilvl="5" w:tplc="A934BCE0">
      <w:numFmt w:val="decimal"/>
      <w:lvlText w:val=""/>
      <w:lvlJc w:val="left"/>
    </w:lvl>
    <w:lvl w:ilvl="6" w:tplc="8F24FA7E">
      <w:numFmt w:val="decimal"/>
      <w:lvlText w:val=""/>
      <w:lvlJc w:val="left"/>
    </w:lvl>
    <w:lvl w:ilvl="7" w:tplc="7B5AC2EE">
      <w:numFmt w:val="decimal"/>
      <w:lvlText w:val=""/>
      <w:lvlJc w:val="left"/>
    </w:lvl>
    <w:lvl w:ilvl="8" w:tplc="A11423A8">
      <w:numFmt w:val="decimal"/>
      <w:lvlText w:val=""/>
      <w:lvlJc w:val="left"/>
    </w:lvl>
  </w:abstractNum>
  <w:abstractNum w:abstractNumId="1" w15:restartNumberingAfterBreak="0">
    <w:nsid w:val="5A8F6FF1"/>
    <w:multiLevelType w:val="hybridMultilevel"/>
    <w:tmpl w:val="8AFC82BA"/>
    <w:lvl w:ilvl="0" w:tplc="BC7C5AE0">
      <w:start w:val="1"/>
      <w:numFmt w:val="bullet"/>
      <w:lvlText w:val="●"/>
      <w:lvlJc w:val="left"/>
      <w:pPr>
        <w:ind w:left="720" w:hanging="360"/>
      </w:pPr>
    </w:lvl>
    <w:lvl w:ilvl="1" w:tplc="A3C8C63E">
      <w:start w:val="1"/>
      <w:numFmt w:val="bullet"/>
      <w:lvlText w:val="○"/>
      <w:lvlJc w:val="left"/>
      <w:pPr>
        <w:ind w:left="1440" w:hanging="360"/>
      </w:pPr>
    </w:lvl>
    <w:lvl w:ilvl="2" w:tplc="BF62828A">
      <w:start w:val="1"/>
      <w:numFmt w:val="bullet"/>
      <w:lvlText w:val="■"/>
      <w:lvlJc w:val="left"/>
      <w:pPr>
        <w:ind w:left="2160" w:hanging="360"/>
      </w:pPr>
    </w:lvl>
    <w:lvl w:ilvl="3" w:tplc="83BE6F3E">
      <w:start w:val="1"/>
      <w:numFmt w:val="bullet"/>
      <w:lvlText w:val="●"/>
      <w:lvlJc w:val="left"/>
      <w:pPr>
        <w:ind w:left="2880" w:hanging="360"/>
      </w:pPr>
    </w:lvl>
    <w:lvl w:ilvl="4" w:tplc="301E7AD4">
      <w:start w:val="1"/>
      <w:numFmt w:val="bullet"/>
      <w:lvlText w:val="○"/>
      <w:lvlJc w:val="left"/>
      <w:pPr>
        <w:ind w:left="3600" w:hanging="360"/>
      </w:pPr>
    </w:lvl>
    <w:lvl w:ilvl="5" w:tplc="868ACE92">
      <w:start w:val="1"/>
      <w:numFmt w:val="bullet"/>
      <w:lvlText w:val="■"/>
      <w:lvlJc w:val="left"/>
      <w:pPr>
        <w:ind w:left="4320" w:hanging="360"/>
      </w:pPr>
    </w:lvl>
    <w:lvl w:ilvl="6" w:tplc="3ED613E6">
      <w:start w:val="1"/>
      <w:numFmt w:val="bullet"/>
      <w:lvlText w:val="●"/>
      <w:lvlJc w:val="left"/>
      <w:pPr>
        <w:ind w:left="5040" w:hanging="360"/>
      </w:pPr>
    </w:lvl>
    <w:lvl w:ilvl="7" w:tplc="DBE81066">
      <w:start w:val="1"/>
      <w:numFmt w:val="bullet"/>
      <w:lvlText w:val="●"/>
      <w:lvlJc w:val="left"/>
      <w:pPr>
        <w:ind w:left="5760" w:hanging="360"/>
      </w:pPr>
    </w:lvl>
    <w:lvl w:ilvl="8" w:tplc="92263B2C">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25F"/>
    <w:rsid w:val="000344D7"/>
    <w:rsid w:val="002706F0"/>
    <w:rsid w:val="003D2ABA"/>
    <w:rsid w:val="004C225F"/>
    <w:rsid w:val="00E764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68B6E09-D640-436A-A3EB-876F2BFE2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262626"/>
        <w:sz w:val="19"/>
        <w:szCs w:val="19"/>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1400</Words>
  <Characters>7985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winnie@usiu.ac.ke</dc:creator>
  <cp:lastModifiedBy>Winnie N Kibebe</cp:lastModifiedBy>
  <cp:revision>3</cp:revision>
  <dcterms:created xsi:type="dcterms:W3CDTF">2026-07-01T11:20:00Z</dcterms:created>
  <dcterms:modified xsi:type="dcterms:W3CDTF">2026-07-08T10:29:00Z</dcterms:modified>
</cp:coreProperties>
</file>