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b/>
          <w:bCs/>
          <w:color w:val="5A6470"/>
          <w:spacing w:val="80"/>
          <w:sz w:val="32"/>
          <w:szCs w:val="32"/>
        </w:rPr>
        <w:t xml:space="preserve">MANUEL UTILISATEUR</w:t>
      </w:r>
    </w:p>
    <w:p>
      <w:pPr>
        <w:spacing w:after="80" w:before="80"/>
        <w:jc w:val="center"/>
      </w:pPr>
      <w:r>
        <w:rPr>
          <w:b/>
          <w:bCs/>
          <w:color w:val="C9A450"/>
          <w:sz w:val="96"/>
          <w:szCs w:val="96"/>
        </w:rPr>
        <w:t xml:space="preserve">ChronoFS</w:t>
      </w:r>
    </w:p>
    <w:p>
      <w:pPr>
        <w:pBdr>
          <w:bottom w:val="single" w:color="C9A450" w:sz="6" w:space="8"/>
        </w:pBdr>
        <w:spacing w:after="480" w:before="0"/>
        <w:jc w:val="center"/>
      </w:pPr>
      <w:r>
        <w:rPr>
          <w:i/>
          <w:iCs/>
          <w:color w:val="0A0E16"/>
          <w:sz w:val="26"/>
          <w:szCs w:val="26"/>
        </w:rPr>
        <w:t xml:space="preserve">Logiciel de gestion des emplois du temps</w:t>
      </w:r>
    </w:p>
    <w:p>
      <w:pPr>
        <w:spacing w:after="80" w:before="240"/>
        <w:jc w:val="center"/>
      </w:pPr>
      <w:r>
        <w:rPr>
          <w:color w:val="0A0E16"/>
          <w:sz w:val="28"/>
          <w:szCs w:val="28"/>
        </w:rPr>
        <w:t xml:space="preserve">Faculté des Sciences</w:t>
      </w:r>
    </w:p>
    <w:p>
      <w:pPr>
        <w:spacing w:after="80" w:before="0"/>
        <w:jc w:val="center"/>
      </w:pPr>
      <w:r>
        <w:rPr>
          <w:color w:val="0A0E16"/>
          <w:sz w:val="24"/>
          <w:szCs w:val="24"/>
        </w:rPr>
        <w:t xml:space="preserve">Université d’Ebolowa</w:t>
      </w:r>
    </w:p>
    <w:p>
      <w:pPr>
        <w:spacing w:after="0" w:before="3600"/>
      </w:pPr>
      <w:r>
        <w:t xml:space="preserve"/>
      </w:r>
    </w:p>
    <w:p>
      <w:pPr>
        <w:jc w:val="center"/>
      </w:pPr>
      <w:r>
        <w:rPr>
          <w:color w:val="5A6470"/>
          <w:sz w:val="22"/>
          <w:szCs w:val="22"/>
        </w:rPr>
        <w:t xml:space="preserve">Destinataire : administrateur FS-UEB</w:t>
      </w:r>
    </w:p>
    <w:p>
      <w:pPr>
        <w:spacing w:after="0" w:before="80"/>
        <w:jc w:val="center"/>
      </w:pPr>
      <w:r>
        <w:rPr>
          <w:i/>
          <w:iCs/>
          <w:color w:val="5A6470"/>
          <w:sz w:val="20"/>
          <w:szCs w:val="20"/>
        </w:rPr>
        <w:t xml:space="preserve">Version 1.0 — Mai 2026</w:t>
      </w:r>
    </w:p>
    <w:p>
      <w:r>
        <w:br w:type="page"/>
      </w:r>
    </w:p>
    <w:p>
      <w:pPr>
        <w:pStyle w:val="Heading1"/>
      </w:pPr>
      <w:r>
        <w:rPr>
          <w:b/>
          <w:bCs/>
          <w:color w:val="C9A450"/>
          <w:sz w:val="36"/>
          <w:szCs w:val="36"/>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C9A450"/>
          <w:sz w:val="36"/>
          <w:szCs w:val="36"/>
        </w:rPr>
        <w:t xml:space="preserve">Présentation</w:t>
      </w:r>
    </w:p>
    <w:p>
      <w:pPr>
        <w:spacing w:after="120" w:before="60" w:line="320"/>
        <w:jc w:val="both"/>
      </w:pPr>
      <w:r>
        <w:t xml:space="preserve">ChronoFS est un logiciel développé pour la Faculté des Sciences de l’Université d’Ebolowa (FS-UEB). Son but est d’automatiser la création, la publication et l’archivage des emplois du temps hebdomadaires, en tenant compte des contraintes réelles de l’établissement : salles disponibles, charge des enseignants, effectifs par niveau et répartition entre les campus d’Ebolowa et de Monatélé.</w:t>
      </w:r>
    </w:p>
    <w:p>
      <w:pPr>
        <w:spacing w:after="120" w:before="60" w:line="320"/>
        <w:jc w:val="both"/>
      </w:pPr>
      <w:r>
        <w:t xml:space="preserve">Le logiciel fonctionne sur le principe d’une session de planification par semaine. Chaque session passe par cinq états successifs, de la collecte des cours auprès des départements jusqu’à l’archivage de la semaine écoulée. Ce manuel décrit pas à pas le rôle de l’administrateur dans ce cycle.</w:t>
      </w:r>
    </w:p>
    <w:p>
      <w:pPr>
        <w:pBdr>
          <w:bottom w:val="single" w:color="C9A450" w:sz="6" w:space="1"/>
        </w:pBdr>
        <w:spacing w:after="200" w:before="80"/>
      </w:pPr>
      <w:r>
        <w:t xml:space="preserve"/>
      </w:r>
    </w:p>
    <w:p>
      <w:pPr>
        <w:pStyle w:val="Heading1"/>
      </w:pPr>
      <w:r>
        <w:rPr>
          <w:b/>
          <w:bCs/>
          <w:color w:val="C9A450"/>
          <w:sz w:val="36"/>
          <w:szCs w:val="36"/>
        </w:rPr>
        <w:t xml:space="preserve">Étape 0 — Configuration initiale</w:t>
      </w:r>
    </w:p>
    <w:p>
      <w:pPr>
        <w:spacing w:after="120" w:before="60" w:line="320"/>
        <w:jc w:val="both"/>
      </w:pPr>
      <w:r>
        <w:t xml:space="preserve">Avant la toute première utilisation, l’administrateur doit renseigner les données stables de la faculté. Ces données ne sont saisies qu’une fois et ne sont mises à jour qu’occasionnellement (nouvelle salle, nouveau département, nouvel enseignant).</w:t>
      </w:r>
    </w:p>
    <w:p>
      <w:pPr>
        <w:pStyle w:val="Heading2"/>
      </w:pPr>
      <w:r>
        <w:rPr>
          <w:b/>
          <w:bCs/>
          <w:color w:val="0A0E16"/>
          <w:sz w:val="28"/>
          <w:szCs w:val="28"/>
        </w:rPr>
        <w:t xml:space="preserve">Données à saisir</w:t>
      </w:r>
    </w:p>
    <w:p>
      <w:pPr>
        <w:pStyle w:val="ListParagraph"/>
        <w:numPr>
          <w:ilvl w:val="0"/>
          <w:numId w:val="2"/>
        </w:numPr>
        <w:spacing w:after="80" w:before="40" w:line="300"/>
      </w:pPr>
      <w:r>
        <w:rPr>
          <w:b/>
          <w:bCs/>
        </w:rPr>
        <w:t xml:space="preserve">Campus</w:t>
      </w:r>
      <w:r>
        <w:t xml:space="preserve"> — créer chaque site (Ebolowa, Monatélé). Le campus sert à isoler les ressources : un cours d’une filière d’Ebolowa ne peut jamais être placé dans une salle de Monatélé.</w:t>
      </w:r>
    </w:p>
    <w:p>
      <w:pPr>
        <w:pStyle w:val="ListParagraph"/>
        <w:numPr>
          <w:ilvl w:val="0"/>
          <w:numId w:val="2"/>
        </w:numPr>
        <w:spacing w:after="80" w:before="40" w:line="300"/>
      </w:pPr>
      <w:r>
        <w:rPr>
          <w:b/>
          <w:bCs/>
        </w:rPr>
        <w:t xml:space="preserve">Salles</w:t>
      </w:r>
      <w:r>
        <w:t xml:space="preserve"> — pour chaque salle : nom, capacité (nombre de places) et campus de rattachement.</w:t>
      </w:r>
    </w:p>
    <w:p>
      <w:pPr>
        <w:pStyle w:val="ListParagraph"/>
        <w:numPr>
          <w:ilvl w:val="0"/>
          <w:numId w:val="2"/>
        </w:numPr>
        <w:spacing w:after="80" w:before="40" w:line="300"/>
      </w:pPr>
      <w:r>
        <w:rPr>
          <w:b/>
          <w:bCs/>
        </w:rPr>
        <w:t xml:space="preserve">Départements</w:t>
      </w:r>
      <w:r>
        <w:t xml:space="preserve"> — les départements de la FS-UEB. Chacun donnera lieu à un import distinct chaque semaine.</w:t>
      </w:r>
    </w:p>
    <w:p>
      <w:pPr>
        <w:pStyle w:val="ListParagraph"/>
        <w:numPr>
          <w:ilvl w:val="0"/>
          <w:numId w:val="2"/>
        </w:numPr>
        <w:spacing w:after="80" w:before="40" w:line="300"/>
      </w:pPr>
      <w:r>
        <w:rPr>
          <w:b/>
          <w:bCs/>
        </w:rPr>
        <w:t xml:space="preserve">Filières &amp; Niveaux</w:t>
      </w:r>
      <w:r>
        <w:t xml:space="preserve"> — chaque filière avec ses niveaux (L1, L2, L3, M1, M2). L’effectif se renseigne au niveau, pas à la filière.</w:t>
      </w:r>
    </w:p>
    <w:p>
      <w:pPr>
        <w:pStyle w:val="ListParagraph"/>
        <w:numPr>
          <w:ilvl w:val="0"/>
          <w:numId w:val="2"/>
        </w:numPr>
        <w:spacing w:after="80" w:before="40" w:line="300"/>
      </w:pPr>
      <w:r>
        <w:rPr>
          <w:b/>
          <w:bCs/>
        </w:rPr>
        <w:t xml:space="preserve">Enseignants</w:t>
      </w:r>
      <w:r>
        <w:t xml:space="preserve"> — nom, grade, et les départements auxquels l’enseignant appartient. Un même enseignant peut être rattaché à plusieurs départements, ce qui est normal et ne crée pas de conflit.</w:t>
      </w:r>
    </w:p>
    <w:p>
      <w:pPr>
        <w:spacing w:after="120" w:before="0"/>
      </w:pPr>
      <w:r>
        <w:t xml:space="preserve"/>
      </w:r>
    </w:p>
    <w:p>
      <w:pPr>
        <w:spacing w:after="120" w:before="60" w:line="320"/>
        <w:jc w:val="both"/>
      </w:pPr>
      <w:r>
        <w:t xml:space="preserve">Une fois ces données saisies, le logiciel est prêt pour le cycle hebdomadaire.</w:t>
      </w:r>
    </w:p>
    <w:p>
      <w:pPr>
        <w:pBdr>
          <w:bottom w:val="single" w:color="C9A450" w:sz="6" w:space="1"/>
        </w:pBdr>
        <w:spacing w:after="200" w:before="80"/>
      </w:pPr>
      <w:r>
        <w:t xml:space="preserve"/>
      </w:r>
    </w:p>
    <w:p>
      <w:pPr>
        <w:pStyle w:val="Heading1"/>
      </w:pPr>
      <w:r>
        <w:rPr>
          <w:b/>
          <w:bCs/>
          <w:color w:val="C9A450"/>
          <w:sz w:val="36"/>
          <w:szCs w:val="36"/>
        </w:rPr>
        <w:t xml:space="preserve">Le cycle hebdomadaire — 6 étapes</w:t>
      </w:r>
    </w:p>
    <w:p>
      <w:pPr>
        <w:spacing w:after="120" w:before="60" w:line="320"/>
        <w:jc w:val="both"/>
      </w:pPr>
      <w:r>
        <w:t xml:space="preserve">Chaque semaine, l’administrateur conduit la session de planification à travers six étapes successives, depuis la création de la session jusqu’à l’export du PDF officiel.</w:t>
      </w:r>
    </w:p>
    <w:p>
      <w:pPr>
        <w:pStyle w:val="Heading2"/>
      </w:pPr>
      <w:r>
        <w:rPr>
          <w:b/>
          <w:bCs/>
          <w:color w:val="0A0E16"/>
          <w:sz w:val="28"/>
          <w:szCs w:val="28"/>
        </w:rPr>
        <w:t xml:space="preserve">Étape 1 — Créer la session de la semaine</w:t>
      </w:r>
    </w:p>
    <w:p>
      <w:pPr>
        <w:spacing w:after="120" w:before="60" w:line="320"/>
        <w:jc w:val="both"/>
      </w:pPr>
      <w:r>
        <w:t xml:space="preserve">Dans le menu Planning, ouvrir la page Sessions puis cliquer sur Nouvelle session. Renseigner :</w:t>
      </w:r>
    </w:p>
    <w:p>
      <w:pPr>
        <w:pStyle w:val="ListParagraph"/>
        <w:numPr>
          <w:ilvl w:val="0"/>
          <w:numId w:val="3"/>
        </w:numPr>
        <w:spacing w:after="80" w:before="40" w:line="300"/>
      </w:pPr>
      <w:r>
        <w:t xml:space="preserve">la semaine de début et la semaine de fin ;</w:t>
      </w:r>
    </w:p>
    <w:p>
      <w:pPr>
        <w:pStyle w:val="ListParagraph"/>
        <w:numPr>
          <w:ilvl w:val="0"/>
          <w:numId w:val="3"/>
        </w:numPr>
        <w:spacing w:after="80" w:before="40" w:line="300"/>
      </w:pPr>
      <w:r>
        <w:t xml:space="preserve">le semestre (S1 ou S2) ;</w:t>
      </w:r>
    </w:p>
    <w:p>
      <w:pPr>
        <w:pStyle w:val="ListParagraph"/>
        <w:numPr>
          <w:ilvl w:val="0"/>
          <w:numId w:val="3"/>
        </w:numPr>
        <w:spacing w:after="80" w:before="40" w:line="300"/>
      </w:pPr>
      <w:r>
        <w:t xml:space="preserve">l’année académique (par exemple 2025-2026).</w:t>
      </w:r>
    </w:p>
    <w:p>
      <w:pPr>
        <w:spacing w:after="120" w:before="0"/>
      </w:pPr>
      <w:r>
        <w:t xml:space="preserve"/>
      </w:r>
    </w:p>
    <w:p>
      <w:pPr>
        <w:spacing w:after="120" w:before="60" w:line="320"/>
        <w:jc w:val="both"/>
      </w:pPr>
      <w:r>
        <w:t xml:space="preserve">À la validation, le système crée automatiquement </w:t>
      </w:r>
      <w:r>
        <w:rPr>
          <w:b/>
          <w:bCs/>
        </w:rPr>
        <w:t xml:space="preserve">une ligne d’import vide pour chaque département</w:t>
      </w:r>
      <w:r>
        <w:t xml:space="preserve">. La session démarre en état </w:t>
      </w:r>
      <w:r>
        <w:rPr>
          <w:b/>
          <w:bCs/>
          <w:color w:val="C9A450"/>
        </w:rPr>
        <w:t xml:space="preserve">« Collecte »</w:t>
      </w:r>
      <w:r>
        <w:t xml:space="preserve">.</w:t>
      </w:r>
    </w:p>
    <w:p>
      <w:pPr>
        <w:pStyle w:val="Heading2"/>
      </w:pPr>
      <w:r>
        <w:rPr>
          <w:b/>
          <w:bCs/>
          <w:color w:val="0A0E16"/>
          <w:sz w:val="28"/>
          <w:szCs w:val="28"/>
        </w:rPr>
        <w:t xml:space="preserve">Étape 2 — Chaque département dépose son fichier Excel</w:t>
      </w:r>
    </w:p>
    <w:p>
      <w:pPr>
        <w:spacing w:after="120" w:before="60" w:line="320"/>
        <w:jc w:val="both"/>
      </w:pPr>
      <w:r>
        <w:t xml:space="preserve">Dans le menu Outils, ouvrir la page Import Excel. Le chef de département (ou l’administrateur pour son compte) :</w:t>
      </w:r>
    </w:p>
    <w:p>
      <w:pPr>
        <w:pStyle w:val="ListParagraph"/>
        <w:numPr>
          <w:ilvl w:val="0"/>
          <w:numId w:val="2"/>
        </w:numPr>
        <w:spacing w:after="80" w:before="40" w:line="300"/>
      </w:pPr>
      <w:r>
        <w:t xml:space="preserve">sélectionne la session active ;</w:t>
      </w:r>
    </w:p>
    <w:p>
      <w:pPr>
        <w:pStyle w:val="ListParagraph"/>
        <w:numPr>
          <w:ilvl w:val="0"/>
          <w:numId w:val="2"/>
        </w:numPr>
        <w:spacing w:after="80" w:before="40" w:line="300"/>
      </w:pPr>
      <w:r>
        <w:t xml:space="preserve">choisit son département ;</w:t>
      </w:r>
    </w:p>
    <w:p>
      <w:pPr>
        <w:pStyle w:val="ListParagraph"/>
        <w:numPr>
          <w:ilvl w:val="0"/>
          <w:numId w:val="2"/>
        </w:numPr>
        <w:spacing w:after="80" w:before="40" w:line="300"/>
      </w:pPr>
      <w:r>
        <w:t xml:space="preserve">téléverse un seul fichier Excel contenant toutes les matières de toutes les filières du département pour cette semaine.</w:t>
      </w:r>
    </w:p>
    <w:p>
      <w:pPr>
        <w:spacing w:after="120" w:before="0"/>
      </w:pPr>
      <w:r>
        <w:t xml:space="preserve"/>
      </w:r>
    </w:p>
    <w:p>
      <w:pPr>
        <w:spacing w:after="120" w:before="60" w:line="320"/>
        <w:jc w:val="both"/>
      </w:pPr>
      <w:r>
        <w:t xml:space="preserve">Le fichier doit lister, pour chaque matière : code, intitulé, niveau, enseignant, type (CM, TD ou TP) et volume horaire.</w:t>
      </w:r>
    </w:p>
    <w:p>
      <w:pPr>
        <w:spacing w:after="120" w:before="60" w:line="320"/>
        <w:jc w:val="both"/>
      </w:pPr>
      <w:r>
        <w:t xml:space="preserve">Le tableau de bord de la session affiche en permanence l’avancement, par exemple </w:t>
      </w:r>
      <w:r>
        <w:rPr>
          <w:i/>
          <w:iCs/>
        </w:rPr>
        <w:t xml:space="preserve">« 3 départements sur 5 ont déposé »</w:t>
      </w:r>
      <w:r>
        <w:t xml:space="preserve">.</w:t>
      </w:r>
    </w:p>
    <w:p>
      <w:pPr>
        <w:pStyle w:val="Heading2"/>
      </w:pPr>
      <w:r>
        <w:rPr>
          <w:b/>
          <w:bCs/>
          <w:color w:val="0A0E16"/>
          <w:sz w:val="28"/>
          <w:szCs w:val="28"/>
        </w:rPr>
        <w:t xml:space="preserve">Étape 3 — Bascule automatique vers « Prêt »</w:t>
      </w:r>
    </w:p>
    <w:p>
      <w:pPr>
        <w:spacing w:after="120" w:before="60" w:line="320"/>
        <w:jc w:val="both"/>
      </w:pPr>
      <w:r>
        <w:t xml:space="preserve">Dès que </w:t>
      </w:r>
      <w:r>
        <w:rPr>
          <w:b/>
          <w:bCs/>
        </w:rPr>
        <w:t xml:space="preserve">tous les départements ont importé leur fichier</w:t>
      </w:r>
      <w:r>
        <w:t xml:space="preserve">, la session passe automatiquement de l’état </w:t>
      </w:r>
      <w:r>
        <w:rPr>
          <w:b/>
          <w:bCs/>
          <w:color w:val="C9A450"/>
        </w:rPr>
        <w:t xml:space="preserve">« Collecte »</w:t>
      </w:r>
      <w:r>
        <w:t xml:space="preserve"> à l’état </w:t>
      </w:r>
      <w:r>
        <w:rPr>
          <w:b/>
          <w:bCs/>
          <w:color w:val="C9A450"/>
        </w:rPr>
        <w:t xml:space="preserve">« Prêt »</w:t>
      </w:r>
      <w:r>
        <w:t xml:space="preserve">. Aucune action de l’administrateur n’est requise pour ce changement.</w:t>
      </w:r>
    </w:p>
    <w:p>
      <w:pPr>
        <w:spacing w:after="120" w:before="60" w:line="320"/>
        <w:jc w:val="both"/>
      </w:pPr>
      <w:r>
        <w:t xml:space="preserve">À ce moment, le bouton </w:t>
      </w:r>
      <w:r>
        <w:rPr>
          <w:b/>
          <w:bCs/>
        </w:rPr>
        <w:t xml:space="preserve">Générer l’emploi du temps</w:t>
      </w:r>
      <w:r>
        <w:t xml:space="preserve"> devient cliquable.</w:t>
      </w:r>
    </w:p>
    <w:p>
      <w:pPr>
        <w:pStyle w:val="Heading2"/>
      </w:pPr>
      <w:r>
        <w:rPr>
          <w:b/>
          <w:bCs/>
          <w:color w:val="0A0E16"/>
          <w:sz w:val="28"/>
          <w:szCs w:val="28"/>
        </w:rPr>
        <w:t xml:space="preserve">Étape 4 — Lancer la génération automatique</w:t>
      </w:r>
    </w:p>
    <w:p>
      <w:pPr>
        <w:spacing w:after="120" w:before="60" w:line="320"/>
        <w:jc w:val="both"/>
      </w:pPr>
      <w:r>
        <w:t xml:space="preserve">L’administrateur clique sur </w:t>
      </w:r>
      <w:r>
        <w:rPr>
          <w:b/>
          <w:bCs/>
        </w:rPr>
        <w:t xml:space="preserve">Générer</w:t>
      </w:r>
      <w:r>
        <w:t xml:space="preserve">. L’algorithme procède ainsi :</w:t>
      </w:r>
    </w:p>
    <w:p>
      <w:pPr>
        <w:pStyle w:val="ListParagraph"/>
        <w:numPr>
          <w:ilvl w:val="0"/>
          <w:numId w:val="2"/>
        </w:numPr>
        <w:spacing w:after="80" w:before="40" w:line="300"/>
      </w:pPr>
      <w:r>
        <w:t xml:space="preserve">il récupère toutes les matières importées ;</w:t>
      </w:r>
    </w:p>
    <w:p>
      <w:pPr>
        <w:pStyle w:val="ListParagraph"/>
        <w:numPr>
          <w:ilvl w:val="0"/>
          <w:numId w:val="2"/>
        </w:numPr>
        <w:spacing w:after="80" w:before="40" w:line="300"/>
      </w:pPr>
      <w:r>
        <w:t xml:space="preserve">il les trie par effectif décroissant (les grands groupes en premier, car ils ont moins de salles candidates) ;</w:t>
      </w:r>
    </w:p>
    <w:p>
      <w:pPr>
        <w:pStyle w:val="ListParagraph"/>
        <w:numPr>
          <w:ilvl w:val="0"/>
          <w:numId w:val="2"/>
        </w:numPr>
        <w:spacing w:after="80" w:before="40" w:line="300"/>
      </w:pPr>
      <w:r>
        <w:t xml:space="preserve">pour chaque matière, il cherche la meilleure combinaison jour + heure + salle qui respecte les règles ci-dessous.</w:t>
      </w:r>
    </w:p>
    <w:p>
      <w:pPr>
        <w:spacing w:after="120" w:before="0"/>
      </w:pPr>
      <w:r>
        <w:t xml:space="preserve"/>
      </w:r>
    </w:p>
    <w:p>
      <w:pPr>
        <w:pStyle w:val="Heading3"/>
      </w:pPr>
      <w:r>
        <w:rPr>
          <w:b/>
          <w:bCs/>
          <w:color w:val="5A6470"/>
          <w:sz w:val="24"/>
          <w:szCs w:val="24"/>
        </w:rPr>
        <w:t xml:space="preserve">Règles strictes (jamais violées)</w:t>
      </w:r>
    </w:p>
    <w:p>
      <w:pPr>
        <w:pStyle w:val="ListParagraph"/>
        <w:numPr>
          <w:ilvl w:val="0"/>
          <w:numId w:val="3"/>
        </w:numPr>
        <w:spacing w:after="80" w:before="40" w:line="300"/>
      </w:pPr>
      <w:r>
        <w:t xml:space="preserve">Une salle ne peut accueillir qu’un seul cours à la fois.</w:t>
      </w:r>
    </w:p>
    <w:p>
      <w:pPr>
        <w:pStyle w:val="ListParagraph"/>
        <w:numPr>
          <w:ilvl w:val="0"/>
          <w:numId w:val="3"/>
        </w:numPr>
        <w:spacing w:after="80" w:before="40" w:line="300"/>
      </w:pPr>
      <w:r>
        <w:t xml:space="preserve">Un enseignant ne peut donner qu’un seul cours à la fois.</w:t>
      </w:r>
    </w:p>
    <w:p>
      <w:pPr>
        <w:pStyle w:val="ListParagraph"/>
        <w:numPr>
          <w:ilvl w:val="0"/>
          <w:numId w:val="3"/>
        </w:numPr>
        <w:spacing w:after="80" w:before="40" w:line="300"/>
      </w:pPr>
      <w:r>
        <w:t xml:space="preserve">Un groupe d’étudiants ne peut suivre qu’un seul cours à la fois.</w:t>
      </w:r>
    </w:p>
    <w:p>
      <w:pPr>
        <w:pStyle w:val="ListParagraph"/>
        <w:numPr>
          <w:ilvl w:val="0"/>
          <w:numId w:val="3"/>
        </w:numPr>
        <w:spacing w:after="80" w:before="40" w:line="300"/>
      </w:pPr>
      <w:r>
        <w:t xml:space="preserve">La salle doit être suffisamment grande pour accueillir l’effectif (tolérance de 10 % en cas de besoin).</w:t>
      </w:r>
    </w:p>
    <w:p>
      <w:pPr>
        <w:pStyle w:val="ListParagraph"/>
        <w:numPr>
          <w:ilvl w:val="0"/>
          <w:numId w:val="3"/>
        </w:numPr>
        <w:spacing w:after="80" w:before="40" w:line="300"/>
      </w:pPr>
      <w:r>
        <w:t xml:space="preserve">La salle doit se trouver sur le même campus que la filière.</w:t>
      </w:r>
    </w:p>
    <w:p>
      <w:pPr>
        <w:spacing w:after="120" w:before="0"/>
      </w:pPr>
      <w:r>
        <w:t xml:space="preserve"/>
      </w:r>
    </w:p>
    <w:p>
      <w:pPr>
        <w:pStyle w:val="Heading3"/>
      </w:pPr>
      <w:r>
        <w:rPr>
          <w:b/>
          <w:bCs/>
          <w:color w:val="5A6470"/>
          <w:sz w:val="24"/>
          <w:szCs w:val="24"/>
        </w:rPr>
        <w:t xml:space="preserve">Préférences d’optimisation</w:t>
      </w:r>
    </w:p>
    <w:p>
      <w:pPr>
        <w:pStyle w:val="ListParagraph"/>
        <w:numPr>
          <w:ilvl w:val="0"/>
          <w:numId w:val="3"/>
        </w:numPr>
        <w:spacing w:after="80" w:before="40" w:line="300"/>
      </w:pPr>
      <w:r>
        <w:t xml:space="preserve">Préférer les créneaux du matin et du milieu de journée ; éviter 7 h 30 et surtout 15 h 45 quand c’est possible.</w:t>
      </w:r>
    </w:p>
    <w:p>
      <w:pPr>
        <w:pStyle w:val="ListParagraph"/>
        <w:numPr>
          <w:ilvl w:val="0"/>
          <w:numId w:val="3"/>
        </w:numPr>
        <w:spacing w:after="80" w:before="40" w:line="300"/>
      </w:pPr>
      <w:r>
        <w:t xml:space="preserve">Préférer le début de la semaine.</w:t>
      </w:r>
    </w:p>
    <w:p>
      <w:pPr>
        <w:pStyle w:val="ListParagraph"/>
        <w:numPr>
          <w:ilvl w:val="0"/>
          <w:numId w:val="3"/>
        </w:numPr>
        <w:spacing w:after="80" w:before="40" w:line="300"/>
      </w:pPr>
      <w:r>
        <w:t xml:space="preserve">Éviter qu’un même enseignant ait à la fois un cours à 7 h 30 et un cours à 15 h 45 le même jour.</w:t>
      </w:r>
    </w:p>
    <w:p>
      <w:pPr>
        <w:pStyle w:val="ListParagraph"/>
        <w:numPr>
          <w:ilvl w:val="0"/>
          <w:numId w:val="3"/>
        </w:numPr>
        <w:spacing w:after="80" w:before="40" w:line="300"/>
      </w:pPr>
      <w:r>
        <w:t xml:space="preserve">Éviter de placer deux séances de la même matière le même jour.</w:t>
      </w:r>
    </w:p>
    <w:p>
      <w:pPr>
        <w:spacing w:after="120" w:before="0"/>
      </w:pPr>
      <w:r>
        <w:t xml:space="preserve"/>
      </w:r>
    </w:p>
    <w:p>
      <w:pPr>
        <w:spacing w:after="120" w:before="60" w:line="320"/>
        <w:jc w:val="both"/>
      </w:pPr>
      <w:r>
        <w:t xml:space="preserve">À la fin de l’exécution, la session passe en état </w:t>
      </w:r>
      <w:r>
        <w:rPr>
          <w:b/>
          <w:bCs/>
          <w:color w:val="C9A450"/>
        </w:rPr>
        <w:t xml:space="preserve">« Généré »</w:t>
      </w:r>
      <w:r>
        <w:t xml:space="preserve">.</w:t>
      </w:r>
    </w:p>
    <w:p>
      <w:pPr>
        <w:pStyle w:val="Heading2"/>
      </w:pPr>
      <w:r>
        <w:rPr>
          <w:b/>
          <w:bCs/>
          <w:color w:val="0A0E16"/>
          <w:sz w:val="28"/>
          <w:szCs w:val="28"/>
        </w:rPr>
        <w:t xml:space="preserve">Étape 5 — Vérifier le résultat</w:t>
      </w:r>
    </w:p>
    <w:p>
      <w:pPr>
        <w:spacing w:after="120" w:before="60" w:line="320"/>
        <w:jc w:val="both"/>
      </w:pPr>
      <w:r>
        <w:t xml:space="preserve">L’algorithme retourne deux ensembles de résultats :</w:t>
      </w:r>
    </w:p>
    <w:p>
      <w:pPr>
        <w:pStyle w:val="ListParagraph"/>
        <w:numPr>
          <w:ilvl w:val="0"/>
          <w:numId w:val="3"/>
        </w:numPr>
        <w:spacing w:after="80" w:before="40" w:line="300"/>
      </w:pPr>
      <w:r>
        <w:rPr>
          <w:b/>
          <w:bCs/>
        </w:rPr>
        <w:t xml:space="preserve">les cours placés</w:t>
      </w:r>
      <w:r>
        <w:t xml:space="preserve"> — visibles dans la page Plannings, sous forme d’une grille par classe ;</w:t>
      </w:r>
    </w:p>
    <w:p>
      <w:pPr>
        <w:pStyle w:val="ListParagraph"/>
        <w:numPr>
          <w:ilvl w:val="0"/>
          <w:numId w:val="3"/>
        </w:numPr>
        <w:spacing w:after="80" w:before="40" w:line="300"/>
      </w:pPr>
      <w:r>
        <w:rPr>
          <w:b/>
          <w:bCs/>
        </w:rPr>
        <w:t xml:space="preserve">les cours non placés</w:t>
      </w:r>
      <w:r>
        <w:t xml:space="preserve"> — listés sous forme d’alertes (exemple : « pas de salle de 220 places disponible pour Anglais L1 lundi 7 h 30 »).</w:t>
      </w:r>
    </w:p>
    <w:p>
      <w:pPr>
        <w:spacing w:after="120" w:before="0"/>
      </w:pPr>
      <w:r>
        <w:t xml:space="preserve"/>
      </w:r>
    </w:p>
    <w:p>
      <w:pPr>
        <w:spacing w:after="120" w:before="60" w:line="320"/>
        <w:jc w:val="both"/>
      </w:pPr>
      <w:r>
        <w:t xml:space="preserve">L’administrateur peut alors :</w:t>
      </w:r>
    </w:p>
    <w:p>
      <w:pPr>
        <w:pStyle w:val="ListParagraph"/>
        <w:numPr>
          <w:ilvl w:val="0"/>
          <w:numId w:val="3"/>
        </w:numPr>
        <w:spacing w:after="80" w:before="40" w:line="300"/>
      </w:pPr>
      <w:r>
        <w:t xml:space="preserve">consulter chaque grille par classe (mise en page noir / blanc / doré conforme à la charte UEB) ;</w:t>
      </w:r>
    </w:p>
    <w:p>
      <w:pPr>
        <w:pStyle w:val="ListParagraph"/>
        <w:numPr>
          <w:ilvl w:val="0"/>
          <w:numId w:val="3"/>
        </w:numPr>
        <w:spacing w:after="80" w:before="40" w:line="300"/>
      </w:pPr>
      <w:r>
        <w:t xml:space="preserve">déplacer manuellement un créneau si besoin ;</w:t>
      </w:r>
    </w:p>
    <w:p>
      <w:pPr>
        <w:pStyle w:val="ListParagraph"/>
        <w:numPr>
          <w:ilvl w:val="0"/>
          <w:numId w:val="3"/>
        </w:numPr>
        <w:spacing w:after="80" w:before="40" w:line="300"/>
      </w:pPr>
      <w:r>
        <w:t xml:space="preserve">régler les conflits signalés en collaboration avec les chefs de département.</w:t>
      </w:r>
    </w:p>
    <w:p>
      <w:pPr>
        <w:pStyle w:val="Heading2"/>
      </w:pPr>
      <w:r>
        <w:rPr>
          <w:b/>
          <w:bCs/>
          <w:color w:val="0A0E16"/>
          <w:sz w:val="28"/>
          <w:szCs w:val="28"/>
        </w:rPr>
        <w:t xml:space="preserve">Étape 6 — Publier et exporter</w:t>
      </w:r>
    </w:p>
    <w:p>
      <w:pPr>
        <w:spacing w:after="120" w:before="60" w:line="320"/>
        <w:jc w:val="both"/>
      </w:pPr>
      <w:r>
        <w:t xml:space="preserve">Quand toutes les vérifications sont faites, l’administrateur clique sur </w:t>
      </w:r>
      <w:r>
        <w:rPr>
          <w:b/>
          <w:bCs/>
        </w:rPr>
        <w:t xml:space="preserve">Publier</w:t>
      </w:r>
      <w:r>
        <w:t xml:space="preserve">. La session passe en état </w:t>
      </w:r>
      <w:r>
        <w:rPr>
          <w:b/>
          <w:bCs/>
          <w:color w:val="C9A450"/>
        </w:rPr>
        <w:t xml:space="preserve">« Publié »</w:t>
      </w:r>
      <w:r>
        <w:t xml:space="preserve"> : les grilles deviennent les emplois du temps officiels de la semaine.</w:t>
      </w:r>
    </w:p>
    <w:p>
      <w:pPr>
        <w:spacing w:after="120" w:before="60" w:line="320"/>
        <w:jc w:val="both"/>
      </w:pPr>
      <w:r>
        <w:t xml:space="preserve">L’administrateur peut alors exporter le </w:t>
      </w:r>
      <w:r>
        <w:rPr>
          <w:b/>
          <w:bCs/>
        </w:rPr>
        <w:t xml:space="preserve">PDF officiel</w:t>
      </w:r>
      <w:r>
        <w:t xml:space="preserve"> depuis la page Plannings. Le document respecte le format de la FS-UEB :</w:t>
      </w:r>
    </w:p>
    <w:p>
      <w:pPr>
        <w:pStyle w:val="ListParagraph"/>
        <w:numPr>
          <w:ilvl w:val="0"/>
          <w:numId w:val="3"/>
        </w:numPr>
        <w:spacing w:after="80" w:before="40" w:line="300"/>
      </w:pPr>
      <w:r>
        <w:t xml:space="preserve">en-tête bilingue : Français à gauche, logo de l’université au centre, English à droite ;</w:t>
      </w:r>
    </w:p>
    <w:p>
      <w:pPr>
        <w:pStyle w:val="ListParagraph"/>
        <w:numPr>
          <w:ilvl w:val="0"/>
          <w:numId w:val="3"/>
        </w:numPr>
        <w:spacing w:after="80" w:before="40" w:line="300"/>
      </w:pPr>
      <w:r>
        <w:t xml:space="preserve">grille des cours du lundi au samedi, sur les quatre plages horaires ;</w:t>
      </w:r>
    </w:p>
    <w:p>
      <w:pPr>
        <w:pStyle w:val="ListParagraph"/>
        <w:numPr>
          <w:ilvl w:val="0"/>
          <w:numId w:val="3"/>
        </w:numPr>
        <w:spacing w:after="80" w:before="40" w:line="300"/>
      </w:pPr>
      <w:r>
        <w:t xml:space="preserve">signature « Le Doyen » en bas du document.</w:t>
      </w:r>
    </w:p>
    <w:p>
      <w:pPr>
        <w:spacing w:after="120" w:before="0"/>
      </w:pPr>
      <w:r>
        <w:t xml:space="preserve"/>
      </w:r>
    </w:p>
    <w:p>
      <w:pPr>
        <w:spacing w:after="120" w:before="60" w:line="320"/>
        <w:jc w:val="both"/>
      </w:pPr>
      <w:r>
        <w:t xml:space="preserve">Le PDF est ensuite imprimé et affiché aux tableaux d’affichage de la faculté.</w:t>
      </w:r>
    </w:p>
    <w:p>
      <w:pPr>
        <w:pBdr>
          <w:bottom w:val="single" w:color="C9A450" w:sz="6" w:space="1"/>
        </w:pBdr>
        <w:spacing w:after="200" w:before="80"/>
      </w:pPr>
      <w:r>
        <w:t xml:space="preserve"/>
      </w:r>
    </w:p>
    <w:p>
      <w:pPr>
        <w:pStyle w:val="Heading1"/>
      </w:pPr>
      <w:r>
        <w:rPr>
          <w:b/>
          <w:bCs/>
          <w:color w:val="C9A450"/>
          <w:sz w:val="36"/>
          <w:szCs w:val="36"/>
        </w:rPr>
        <w:t xml:space="preserve">Étape 7 — Archivage</w:t>
      </w:r>
    </w:p>
    <w:p>
      <w:pPr>
        <w:spacing w:after="120" w:before="60" w:line="320"/>
        <w:jc w:val="both"/>
      </w:pPr>
      <w:r>
        <w:t xml:space="preserve">Lorsque la semaine est terminée, l’administrateur clique sur </w:t>
      </w:r>
      <w:r>
        <w:rPr>
          <w:b/>
          <w:bCs/>
        </w:rPr>
        <w:t xml:space="preserve">Archiver</w:t>
      </w:r>
      <w:r>
        <w:t xml:space="preserve">. La session passe alors en état </w:t>
      </w:r>
      <w:r>
        <w:rPr>
          <w:b/>
          <w:bCs/>
          <w:color w:val="C9A450"/>
        </w:rPr>
        <w:t xml:space="preserve">« Archivé »</w:t>
      </w:r>
      <w:r>
        <w:t xml:space="preserve"> : elle reste consultable dans l’historique mais n’apparaît plus dans la liste des sessions actives.</w:t>
      </w:r>
    </w:p>
    <w:p>
      <w:pPr>
        <w:spacing w:after="120" w:before="60" w:line="320"/>
        <w:jc w:val="both"/>
      </w:pPr>
      <w:r>
        <w:t xml:space="preserve">L’administrateur peut alors créer la session de la semaine suivante et reprendre le cycle à l’Étape 1. L’historique des sessions précédentes est conservé indéfiniment.</w:t>
      </w:r>
    </w:p>
    <w:p>
      <w:pPr>
        <w:pBdr>
          <w:bottom w:val="single" w:color="C9A450" w:sz="6" w:space="1"/>
        </w:pBdr>
        <w:spacing w:after="200" w:before="80"/>
      </w:pPr>
      <w:r>
        <w:t xml:space="preserve"/>
      </w:r>
    </w:p>
    <w:p>
      <w:pPr>
        <w:pStyle w:val="Heading1"/>
      </w:pPr>
      <w:r>
        <w:rPr>
          <w:b/>
          <w:bCs/>
          <w:color w:val="C9A450"/>
          <w:sz w:val="36"/>
          <w:szCs w:val="36"/>
        </w:rPr>
        <w:t xml:space="preserve">Résumé des états d’une session</w:t>
      </w:r>
    </w:p>
    <w:p>
      <w:pPr>
        <w:spacing w:after="120" w:before="60" w:line="320"/>
        <w:jc w:val="both"/>
      </w:pPr>
      <w:r>
        <w:t xml:space="preserve">Une session de planification suit toujours la même séquence d’états. Le tableau ci-dessous récapitule chaque état, sa signification et la transition qui en sort.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9D2BD" w:sz="4"/>
              <w:left w:val="single" w:color="D9D2BD" w:sz="4"/>
              <w:bottom w:val="single" w:color="D9D2BD" w:sz="4"/>
              <w:right w:val="single" w:color="D9D2BD" w:sz="4"/>
            </w:tcBorders>
            <w:shd w:fill="C9A450" w:val="clear"/>
            <w:tcMar>
              <w:top w:type="dxa" w:w="100"/>
              <w:left w:type="dxa" w:w="140"/>
              <w:bottom w:type="dxa" w:w="100"/>
              <w:right w:type="dxa" w:w="140"/>
            </w:tcMar>
            <w:vAlign w:val="center"/>
          </w:tcPr>
          <w:p>
            <w:pPr>
              <w:jc w:val="left"/>
            </w:pPr>
            <w:r>
              <w:rPr>
                <w:b/>
                <w:bCs/>
                <w:color w:val="FFFFFF"/>
              </w:rPr>
              <w:t xml:space="preserve">État</w:t>
            </w:r>
          </w:p>
        </w:tc>
        <w:tc>
          <w:tcPr>
            <w:tcW w:type="dxa" w:w="3008"/>
            <w:tcBorders>
              <w:top w:val="single" w:color="D9D2BD" w:sz="4"/>
              <w:left w:val="single" w:color="D9D2BD" w:sz="4"/>
              <w:bottom w:val="single" w:color="D9D2BD" w:sz="4"/>
              <w:right w:val="single" w:color="D9D2BD" w:sz="4"/>
            </w:tcBorders>
            <w:shd w:fill="C9A450" w:val="clear"/>
            <w:tcMar>
              <w:top w:type="dxa" w:w="100"/>
              <w:left w:type="dxa" w:w="140"/>
              <w:bottom w:type="dxa" w:w="100"/>
              <w:right w:type="dxa" w:w="140"/>
            </w:tcMar>
            <w:vAlign w:val="center"/>
          </w:tcPr>
          <w:p>
            <w:pPr>
              <w:jc w:val="left"/>
            </w:pPr>
            <w:r>
              <w:rPr>
                <w:b/>
                <w:bCs/>
                <w:color w:val="FFFFFF"/>
              </w:rPr>
              <w:t xml:space="preserve">Signification</w:t>
            </w:r>
          </w:p>
        </w:tc>
        <w:tc>
          <w:tcPr>
            <w:tcW w:type="dxa" w:w="3010"/>
            <w:tcBorders>
              <w:top w:val="single" w:color="D9D2BD" w:sz="4"/>
              <w:left w:val="single" w:color="D9D2BD" w:sz="4"/>
              <w:bottom w:val="single" w:color="D9D2BD" w:sz="4"/>
              <w:right w:val="single" w:color="D9D2BD" w:sz="4"/>
            </w:tcBorders>
            <w:shd w:fill="C9A450" w:val="clear"/>
            <w:tcMar>
              <w:top w:type="dxa" w:w="100"/>
              <w:left w:type="dxa" w:w="140"/>
              <w:bottom w:type="dxa" w:w="100"/>
              <w:right w:type="dxa" w:w="140"/>
            </w:tcMar>
            <w:vAlign w:val="center"/>
          </w:tcPr>
          <w:p>
            <w:pPr>
              <w:jc w:val="left"/>
            </w:pPr>
            <w:r>
              <w:rPr>
                <w:b/>
                <w:bCs/>
                <w:color w:val="FFFFFF"/>
              </w:rPr>
              <w:t xml:space="preserve">Sortie de cet état</w:t>
            </w:r>
          </w:p>
        </w:tc>
      </w:tr>
      <w:tr>
        <w:tc>
          <w:tcPr>
            <w:tcW w:type="dxa" w:w="3008"/>
            <w:tcBorders>
              <w:top w:val="single" w:color="D9D2BD" w:sz="4"/>
              <w:left w:val="single" w:color="D9D2BD" w:sz="4"/>
              <w:bottom w:val="single" w:color="D9D2BD" w:sz="4"/>
              <w:right w:val="single" w:color="D9D2BD" w:sz="4"/>
            </w:tcBorders>
            <w:tcMar>
              <w:top w:type="dxa" w:w="100"/>
              <w:left w:type="dxa" w:w="140"/>
              <w:bottom w:type="dxa" w:w="100"/>
              <w:right w:type="dxa" w:w="140"/>
            </w:tcMar>
            <w:vAlign w:val="center"/>
          </w:tcPr>
          <w:p>
            <w:r>
              <w:rPr>
                <w:color w:val="0A0E16"/>
              </w:rPr>
              <w:t xml:space="preserve">Collecte</w:t>
            </w:r>
          </w:p>
        </w:tc>
        <w:tc>
          <w:tcPr>
            <w:tcW w:type="dxa" w:w="3008"/>
            <w:tcBorders>
              <w:top w:val="single" w:color="D9D2BD" w:sz="4"/>
              <w:left w:val="single" w:color="D9D2BD" w:sz="4"/>
              <w:bottom w:val="single" w:color="D9D2BD" w:sz="4"/>
              <w:right w:val="single" w:color="D9D2BD" w:sz="4"/>
            </w:tcBorders>
            <w:tcMar>
              <w:top w:type="dxa" w:w="100"/>
              <w:left w:type="dxa" w:w="140"/>
              <w:bottom w:type="dxa" w:w="100"/>
              <w:right w:type="dxa" w:w="140"/>
            </w:tcMar>
            <w:vAlign w:val="center"/>
          </w:tcPr>
          <w:p>
            <w:r>
              <w:rPr>
                <w:color w:val="0A0E16"/>
              </w:rPr>
              <w:t xml:space="preserve">Les départements déposent leurs fichiers Excel.</w:t>
            </w:r>
          </w:p>
        </w:tc>
        <w:tc>
          <w:tcPr>
            <w:tcW w:type="dxa" w:w="3010"/>
            <w:tcBorders>
              <w:top w:val="single" w:color="D9D2BD" w:sz="4"/>
              <w:left w:val="single" w:color="D9D2BD" w:sz="4"/>
              <w:bottom w:val="single" w:color="D9D2BD" w:sz="4"/>
              <w:right w:val="single" w:color="D9D2BD" w:sz="4"/>
            </w:tcBorders>
            <w:tcMar>
              <w:top w:type="dxa" w:w="100"/>
              <w:left w:type="dxa" w:w="140"/>
              <w:bottom w:type="dxa" w:w="100"/>
              <w:right w:type="dxa" w:w="140"/>
            </w:tcMar>
            <w:vAlign w:val="center"/>
          </w:tcPr>
          <w:p>
            <w:r>
              <w:rPr>
                <w:color w:val="0A0E16"/>
              </w:rPr>
              <w:t xml:space="preserve">Bascule auto vers « Prêt » quand tous ont importé.</w:t>
            </w:r>
          </w:p>
        </w:tc>
      </w:tr>
      <w:tr>
        <w:tc>
          <w:tcPr>
            <w:tcW w:type="dxa" w:w="3008"/>
            <w:tcBorders>
              <w:top w:val="single" w:color="D9D2BD" w:sz="4"/>
              <w:left w:val="single" w:color="D9D2BD" w:sz="4"/>
              <w:bottom w:val="single" w:color="D9D2BD" w:sz="4"/>
              <w:right w:val="single" w:color="D9D2BD" w:sz="4"/>
            </w:tcBorders>
            <w:shd w:fill="F6F2E8" w:val="clear"/>
            <w:tcMar>
              <w:top w:type="dxa" w:w="100"/>
              <w:left w:type="dxa" w:w="140"/>
              <w:bottom w:type="dxa" w:w="100"/>
              <w:right w:type="dxa" w:w="140"/>
            </w:tcMar>
            <w:vAlign w:val="center"/>
          </w:tcPr>
          <w:p>
            <w:r>
              <w:rPr>
                <w:color w:val="0A0E16"/>
              </w:rPr>
              <w:t xml:space="preserve">Prêt</w:t>
            </w:r>
          </w:p>
        </w:tc>
        <w:tc>
          <w:tcPr>
            <w:tcW w:type="dxa" w:w="3008"/>
            <w:tcBorders>
              <w:top w:val="single" w:color="D9D2BD" w:sz="4"/>
              <w:left w:val="single" w:color="D9D2BD" w:sz="4"/>
              <w:bottom w:val="single" w:color="D9D2BD" w:sz="4"/>
              <w:right w:val="single" w:color="D9D2BD" w:sz="4"/>
            </w:tcBorders>
            <w:shd w:fill="F6F2E8" w:val="clear"/>
            <w:tcMar>
              <w:top w:type="dxa" w:w="100"/>
              <w:left w:type="dxa" w:w="140"/>
              <w:bottom w:type="dxa" w:w="100"/>
              <w:right w:type="dxa" w:w="140"/>
            </w:tcMar>
            <w:vAlign w:val="center"/>
          </w:tcPr>
          <w:p>
            <w:r>
              <w:rPr>
                <w:color w:val="0A0E16"/>
              </w:rPr>
              <w:t xml:space="preserve">Tous les imports sont reçus, l’algorithme peut tourner.</w:t>
            </w:r>
          </w:p>
        </w:tc>
        <w:tc>
          <w:tcPr>
            <w:tcW w:type="dxa" w:w="3010"/>
            <w:tcBorders>
              <w:top w:val="single" w:color="D9D2BD" w:sz="4"/>
              <w:left w:val="single" w:color="D9D2BD" w:sz="4"/>
              <w:bottom w:val="single" w:color="D9D2BD" w:sz="4"/>
              <w:right w:val="single" w:color="D9D2BD" w:sz="4"/>
            </w:tcBorders>
            <w:shd w:fill="F6F2E8" w:val="clear"/>
            <w:tcMar>
              <w:top w:type="dxa" w:w="100"/>
              <w:left w:type="dxa" w:w="140"/>
              <w:bottom w:type="dxa" w:w="100"/>
              <w:right w:type="dxa" w:w="140"/>
            </w:tcMar>
            <w:vAlign w:val="center"/>
          </w:tcPr>
          <w:p>
            <w:r>
              <w:rPr>
                <w:color w:val="0A0E16"/>
              </w:rPr>
              <w:t xml:space="preserve">L’admin clique sur Générer.</w:t>
            </w:r>
          </w:p>
        </w:tc>
      </w:tr>
      <w:tr>
        <w:tc>
          <w:tcPr>
            <w:tcW w:type="dxa" w:w="3008"/>
            <w:tcBorders>
              <w:top w:val="single" w:color="D9D2BD" w:sz="4"/>
              <w:left w:val="single" w:color="D9D2BD" w:sz="4"/>
              <w:bottom w:val="single" w:color="D9D2BD" w:sz="4"/>
              <w:right w:val="single" w:color="D9D2BD" w:sz="4"/>
            </w:tcBorders>
            <w:tcMar>
              <w:top w:type="dxa" w:w="100"/>
              <w:left w:type="dxa" w:w="140"/>
              <w:bottom w:type="dxa" w:w="100"/>
              <w:right w:type="dxa" w:w="140"/>
            </w:tcMar>
            <w:vAlign w:val="center"/>
          </w:tcPr>
          <w:p>
            <w:r>
              <w:rPr>
                <w:color w:val="0A0E16"/>
              </w:rPr>
              <w:t xml:space="preserve">Généré</w:t>
            </w:r>
          </w:p>
        </w:tc>
        <w:tc>
          <w:tcPr>
            <w:tcW w:type="dxa" w:w="3008"/>
            <w:tcBorders>
              <w:top w:val="single" w:color="D9D2BD" w:sz="4"/>
              <w:left w:val="single" w:color="D9D2BD" w:sz="4"/>
              <w:bottom w:val="single" w:color="D9D2BD" w:sz="4"/>
              <w:right w:val="single" w:color="D9D2BD" w:sz="4"/>
            </w:tcBorders>
            <w:tcMar>
              <w:top w:type="dxa" w:w="100"/>
              <w:left w:type="dxa" w:w="140"/>
              <w:bottom w:type="dxa" w:w="100"/>
              <w:right w:type="dxa" w:w="140"/>
            </w:tcMar>
            <w:vAlign w:val="center"/>
          </w:tcPr>
          <w:p>
            <w:r>
              <w:rPr>
                <w:color w:val="0A0E16"/>
              </w:rPr>
              <w:t xml:space="preserve">L’algorithme a placé les cours ; vérification en cours.</w:t>
            </w:r>
          </w:p>
        </w:tc>
        <w:tc>
          <w:tcPr>
            <w:tcW w:type="dxa" w:w="3010"/>
            <w:tcBorders>
              <w:top w:val="single" w:color="D9D2BD" w:sz="4"/>
              <w:left w:val="single" w:color="D9D2BD" w:sz="4"/>
              <w:bottom w:val="single" w:color="D9D2BD" w:sz="4"/>
              <w:right w:val="single" w:color="D9D2BD" w:sz="4"/>
            </w:tcBorders>
            <w:tcMar>
              <w:top w:type="dxa" w:w="100"/>
              <w:left w:type="dxa" w:w="140"/>
              <w:bottom w:type="dxa" w:w="100"/>
              <w:right w:type="dxa" w:w="140"/>
            </w:tcMar>
            <w:vAlign w:val="center"/>
          </w:tcPr>
          <w:p>
            <w:r>
              <w:rPr>
                <w:color w:val="0A0E16"/>
              </w:rPr>
              <w:t xml:space="preserve">L’admin clique sur Publier.</w:t>
            </w:r>
          </w:p>
        </w:tc>
      </w:tr>
      <w:tr>
        <w:tc>
          <w:tcPr>
            <w:tcW w:type="dxa" w:w="3008"/>
            <w:tcBorders>
              <w:top w:val="single" w:color="D9D2BD" w:sz="4"/>
              <w:left w:val="single" w:color="D9D2BD" w:sz="4"/>
              <w:bottom w:val="single" w:color="D9D2BD" w:sz="4"/>
              <w:right w:val="single" w:color="D9D2BD" w:sz="4"/>
            </w:tcBorders>
            <w:shd w:fill="F6F2E8" w:val="clear"/>
            <w:tcMar>
              <w:top w:type="dxa" w:w="100"/>
              <w:left w:type="dxa" w:w="140"/>
              <w:bottom w:type="dxa" w:w="100"/>
              <w:right w:type="dxa" w:w="140"/>
            </w:tcMar>
            <w:vAlign w:val="center"/>
          </w:tcPr>
          <w:p>
            <w:r>
              <w:rPr>
                <w:color w:val="0A0E16"/>
              </w:rPr>
              <w:t xml:space="preserve">Publié</w:t>
            </w:r>
          </w:p>
        </w:tc>
        <w:tc>
          <w:tcPr>
            <w:tcW w:type="dxa" w:w="3008"/>
            <w:tcBorders>
              <w:top w:val="single" w:color="D9D2BD" w:sz="4"/>
              <w:left w:val="single" w:color="D9D2BD" w:sz="4"/>
              <w:bottom w:val="single" w:color="D9D2BD" w:sz="4"/>
              <w:right w:val="single" w:color="D9D2BD" w:sz="4"/>
            </w:tcBorders>
            <w:shd w:fill="F6F2E8" w:val="clear"/>
            <w:tcMar>
              <w:top w:type="dxa" w:w="100"/>
              <w:left w:type="dxa" w:w="140"/>
              <w:bottom w:type="dxa" w:w="100"/>
              <w:right w:type="dxa" w:w="140"/>
            </w:tcMar>
            <w:vAlign w:val="center"/>
          </w:tcPr>
          <w:p>
            <w:r>
              <w:rPr>
                <w:color w:val="0A0E16"/>
              </w:rPr>
              <w:t xml:space="preserve">Les emplois du temps sont officiels et exportables en PDF.</w:t>
            </w:r>
          </w:p>
        </w:tc>
        <w:tc>
          <w:tcPr>
            <w:tcW w:type="dxa" w:w="3010"/>
            <w:tcBorders>
              <w:top w:val="single" w:color="D9D2BD" w:sz="4"/>
              <w:left w:val="single" w:color="D9D2BD" w:sz="4"/>
              <w:bottom w:val="single" w:color="D9D2BD" w:sz="4"/>
              <w:right w:val="single" w:color="D9D2BD" w:sz="4"/>
            </w:tcBorders>
            <w:shd w:fill="F6F2E8" w:val="clear"/>
            <w:tcMar>
              <w:top w:type="dxa" w:w="100"/>
              <w:left w:type="dxa" w:w="140"/>
              <w:bottom w:type="dxa" w:w="100"/>
              <w:right w:type="dxa" w:w="140"/>
            </w:tcMar>
            <w:vAlign w:val="center"/>
          </w:tcPr>
          <w:p>
            <w:r>
              <w:rPr>
                <w:color w:val="0A0E16"/>
              </w:rPr>
              <w:t xml:space="preserve">L’admin clique sur Archiver en fin de semaine.</w:t>
            </w:r>
          </w:p>
        </w:tc>
      </w:tr>
      <w:tr>
        <w:tc>
          <w:tcPr>
            <w:tcW w:type="dxa" w:w="3008"/>
            <w:tcBorders>
              <w:top w:val="single" w:color="D9D2BD" w:sz="4"/>
              <w:left w:val="single" w:color="D9D2BD" w:sz="4"/>
              <w:bottom w:val="single" w:color="D9D2BD" w:sz="4"/>
              <w:right w:val="single" w:color="D9D2BD" w:sz="4"/>
            </w:tcBorders>
            <w:tcMar>
              <w:top w:type="dxa" w:w="100"/>
              <w:left w:type="dxa" w:w="140"/>
              <w:bottom w:type="dxa" w:w="100"/>
              <w:right w:type="dxa" w:w="140"/>
            </w:tcMar>
            <w:vAlign w:val="center"/>
          </w:tcPr>
          <w:p>
            <w:r>
              <w:rPr>
                <w:color w:val="0A0E16"/>
              </w:rPr>
              <w:t xml:space="preserve">Archivé</w:t>
            </w:r>
          </w:p>
        </w:tc>
        <w:tc>
          <w:tcPr>
            <w:tcW w:type="dxa" w:w="3008"/>
            <w:tcBorders>
              <w:top w:val="single" w:color="D9D2BD" w:sz="4"/>
              <w:left w:val="single" w:color="D9D2BD" w:sz="4"/>
              <w:bottom w:val="single" w:color="D9D2BD" w:sz="4"/>
              <w:right w:val="single" w:color="D9D2BD" w:sz="4"/>
            </w:tcBorders>
            <w:tcMar>
              <w:top w:type="dxa" w:w="100"/>
              <w:left w:type="dxa" w:w="140"/>
              <w:bottom w:type="dxa" w:w="100"/>
              <w:right w:type="dxa" w:w="140"/>
            </w:tcMar>
            <w:vAlign w:val="center"/>
          </w:tcPr>
          <w:p>
            <w:r>
              <w:rPr>
                <w:color w:val="0A0E16"/>
              </w:rPr>
              <w:t xml:space="preserve">La session est conservée dans l’historique uniquement.</w:t>
            </w:r>
          </w:p>
        </w:tc>
        <w:tc>
          <w:tcPr>
            <w:tcW w:type="dxa" w:w="3010"/>
            <w:tcBorders>
              <w:top w:val="single" w:color="D9D2BD" w:sz="4"/>
              <w:left w:val="single" w:color="D9D2BD" w:sz="4"/>
              <w:bottom w:val="single" w:color="D9D2BD" w:sz="4"/>
              <w:right w:val="single" w:color="D9D2BD" w:sz="4"/>
            </w:tcBorders>
            <w:tcMar>
              <w:top w:type="dxa" w:w="100"/>
              <w:left w:type="dxa" w:w="140"/>
              <w:bottom w:type="dxa" w:w="100"/>
              <w:right w:type="dxa" w:w="140"/>
            </w:tcMar>
            <w:vAlign w:val="center"/>
          </w:tcPr>
          <w:p>
            <w:r>
              <w:rPr>
                <w:color w:val="0A0E16"/>
              </w:rPr>
              <w:t xml:space="preserve">Aucune sortie : état final.</w:t>
            </w:r>
          </w:p>
        </w:tc>
      </w:tr>
    </w:tbl>
    <w:p>
      <w:pPr>
        <w:spacing w:after="120" w:before="0"/>
      </w:pPr>
      <w:r>
        <w:t xml:space="preserve"/>
      </w:r>
    </w:p>
    <w:p>
      <w:pPr>
        <w:pBdr>
          <w:bottom w:val="single" w:color="C9A450" w:sz="6" w:space="1"/>
        </w:pBdr>
        <w:spacing w:after="200" w:before="80"/>
      </w:pPr>
      <w:r>
        <w:t xml:space="preserve"/>
      </w:r>
    </w:p>
    <w:p>
      <w:pPr>
        <w:pStyle w:val="Heading1"/>
      </w:pPr>
      <w:r>
        <w:rPr>
          <w:b/>
          <w:bCs/>
          <w:color w:val="C9A450"/>
          <w:sz w:val="36"/>
          <w:szCs w:val="36"/>
        </w:rPr>
        <w:t xml:space="preserve">Règles à retenir</w:t>
      </w:r>
    </w:p>
    <w:p>
      <w:pPr>
        <w:spacing w:after="120" w:before="60" w:line="320"/>
        <w:jc w:val="both"/>
      </w:pPr>
      <w:r>
        <w:t xml:space="preserve">Quelques principes à garder à l’esprit pour utiliser ChronoFS sans difficulté :</w:t>
      </w:r>
    </w:p>
    <w:p>
      <w:pPr>
        <w:pStyle w:val="ListParagraph"/>
        <w:numPr>
          <w:ilvl w:val="0"/>
          <w:numId w:val="3"/>
        </w:numPr>
        <w:spacing w:after="80" w:before="40" w:line="300"/>
      </w:pPr>
      <w:r>
        <w:rPr>
          <w:b/>
          <w:bCs/>
        </w:rPr>
        <w:t xml:space="preserve">Une session = une semaine.</w:t>
      </w:r>
      <w:r>
        <w:t xml:space="preserve"> Ne jamais mélanger deux semaines dans la même session.</w:t>
      </w:r>
    </w:p>
    <w:p>
      <w:pPr>
        <w:pStyle w:val="ListParagraph"/>
        <w:numPr>
          <w:ilvl w:val="0"/>
          <w:numId w:val="3"/>
        </w:numPr>
        <w:spacing w:after="80" w:before="40" w:line="300"/>
      </w:pPr>
      <w:r>
        <w:rPr>
          <w:b/>
          <w:bCs/>
        </w:rPr>
        <w:t xml:space="preserve">L’effectif compte par niveau, pas par filière.</w:t>
      </w:r>
      <w:r>
        <w:t xml:space="preserve"> Une L1 peut compter 200 étudiants même si la filière en cumule 500 sur les cinq niveaux.</w:t>
      </w:r>
    </w:p>
    <w:p>
      <w:pPr>
        <w:pStyle w:val="ListParagraph"/>
        <w:numPr>
          <w:ilvl w:val="0"/>
          <w:numId w:val="3"/>
        </w:numPr>
        <w:spacing w:after="80" w:before="40" w:line="300"/>
      </w:pPr>
      <w:r>
        <w:rPr>
          <w:b/>
          <w:bCs/>
        </w:rPr>
        <w:t xml:space="preserve">Aucun cours n’est oublié silencieusement.</w:t>
      </w:r>
      <w:r>
        <w:t xml:space="preserve"> Les cours que l’algorithme n’a pas pu placer apparaissent toujours dans la liste d’alertes.</w:t>
      </w:r>
    </w:p>
    <w:p>
      <w:pPr>
        <w:pStyle w:val="ListParagraph"/>
        <w:numPr>
          <w:ilvl w:val="0"/>
          <w:numId w:val="3"/>
        </w:numPr>
        <w:spacing w:after="80" w:before="40" w:line="300"/>
      </w:pPr>
      <w:r>
        <w:rPr>
          <w:b/>
          <w:bCs/>
        </w:rPr>
        <w:t xml:space="preserve">L’historique est préservé.</w:t>
      </w:r>
      <w:r>
        <w:t xml:space="preserve"> Les anciennes sessions ne sont jamais supprimées : elles restent consultables.</w:t>
      </w:r>
    </w:p>
    <w:p>
      <w:pPr>
        <w:pStyle w:val="ListParagraph"/>
        <w:numPr>
          <w:ilvl w:val="0"/>
          <w:numId w:val="3"/>
        </w:numPr>
        <w:spacing w:after="80" w:before="40" w:line="300"/>
      </w:pPr>
      <w:r>
        <w:rPr>
          <w:b/>
          <w:bCs/>
        </w:rPr>
        <w:t xml:space="preserve">Les campus sont étanches.</w:t>
      </w:r>
      <w:r>
        <w:t xml:space="preserve"> Un cours d’une filière d’Ebolowa ne peut pas être placé dans une salle de Monatélé.</w:t>
      </w:r>
    </w:p>
    <w:p>
      <w:pPr>
        <w:pStyle w:val="ListParagraph"/>
        <w:numPr>
          <w:ilvl w:val="0"/>
          <w:numId w:val="3"/>
        </w:numPr>
        <w:spacing w:after="80" w:before="40" w:line="300"/>
      </w:pPr>
      <w:r>
        <w:rPr>
          <w:b/>
          <w:bCs/>
        </w:rPr>
        <w:t xml:space="preserve">Un enseignant dans plusieurs départements n’est pas un conflit.</w:t>
      </w:r>
      <w:r>
        <w:t xml:space="preserve"> Le seul conflit possible est : même enseignant, même jour, même heure.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color w:val="5A6470"/>
        <w:sz w:val="18"/>
        <w:szCs w:val="18"/>
      </w:rPr>
      <w:t xml:space="preserve">FS-UEB</w:t>
    </w:r>
    <w:r>
      <w:rPr>
        <w:color w:val="5A6470"/>
        <w:sz w:val="18"/>
        <w:szCs w:val="18"/>
      </w:rPr>
      <w:t xml:space="preserve">	ChronoFS — Manuel utilisateur	</w:t>
    </w:r>
    <w:r>
      <w:rPr>
        <w:color w:val="5A6470"/>
        <w:sz w:val="18"/>
        <w:szCs w:val="18"/>
      </w:rPr>
      <w:t xml:space="preserve">Page </w:t>
    </w:r>
    <w:r>
      <w:rPr>
        <w:color w:val="5A6470"/>
        <w:sz w:val="18"/>
        <w:szCs w:val="18"/>
      </w:rPr>
      <w:fldChar w:fldCharType="begin"/>
      <w:instrText xml:space="preserve">PAGE</w:instrText>
      <w:fldChar w:fldCharType="separate"/>
      <w:fldChar w:fldCharType="end"/>
    </w:r>
    <w:r>
      <w:rPr>
        <w:color w:val="5A6470"/>
        <w:sz w:val="18"/>
        <w:szCs w:val="18"/>
      </w:rPr>
      <w:t xml:space="preserve"> / </w:t>
    </w:r>
    <w:r>
      <w:rPr>
        <w:color w:val="5A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450" w:sz="4" w:space="4"/>
      </w:pBdr>
      <w:jc w:val="right"/>
    </w:pPr>
    <w:r>
      <w:rPr>
        <w:b/>
        <w:bCs/>
        <w:color w:val="C9A450"/>
        <w:sz w:val="18"/>
        <w:szCs w:val="18"/>
      </w:rPr>
      <w:t xml:space="preserve">ChronoFS</w:t>
    </w:r>
    <w:r>
      <w:rPr>
        <w:color w:val="5A6470"/>
        <w:sz w:val="18"/>
        <w:szCs w:val="18"/>
      </w:rPr>
      <w:t xml:space="preserve">   •   </w:t>
    </w:r>
    <w:r>
      <w:rPr>
        <w:i/>
        <w:iCs/>
        <w:color w:val="5A6470"/>
        <w:sz w:val="18"/>
        <w:szCs w:val="18"/>
      </w:rPr>
      <w:t xml:space="preserve">Manuel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9A45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A0E1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A64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ChronoFS</dc:title>
  <dc:creator>ChronoFS</dc:creator>
  <dc:description>Manuel utilisateur à destination de l’administrateur FS-UEB</dc:description>
  <cp:lastModifiedBy>Un-named</cp:lastModifiedBy>
  <cp:revision>1</cp:revision>
  <dcterms:created xsi:type="dcterms:W3CDTF">2026-05-11T20:20:35.734Z</dcterms:created>
  <dcterms:modified xsi:type="dcterms:W3CDTF">2026-05-11T20:20:35.734Z</dcterms:modified>
</cp:coreProperties>
</file>

<file path=docProps/custom.xml><?xml version="1.0" encoding="utf-8"?>
<Properties xmlns="http://schemas.openxmlformats.org/officeDocument/2006/custom-properties" xmlns:vt="http://schemas.openxmlformats.org/officeDocument/2006/docPropsVTypes"/>
</file>