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20" w:before="0"/>
        <w:jc w:val="left"/>
      </w:pPr>
      <w:r>
        <w:rPr>
          <w:rFonts w:ascii="Arial" w:cs="Arial" w:eastAsia="Arial" w:hAnsi="Arial"/>
          <w:b/>
          <w:bCs/>
          <w:color w:val="1F4E79"/>
          <w:sz w:val="52"/>
          <w:szCs w:val="52"/>
        </w:rPr>
        <w:t xml:space="preserve">TA28 Data Group</w:t>
      </w:r>
    </w:p>
    <w:p>
      <w:pPr>
        <w:spacing w:after="80" w:before="0"/>
        <w:jc w:val="left"/>
      </w:pPr>
      <w:r>
        <w:rPr>
          <w:rFonts w:ascii="Arial" w:cs="Arial" w:eastAsia="Arial" w:hAnsi="Arial"/>
          <w:color w:val="2E75B6"/>
          <w:sz w:val="36"/>
          <w:szCs w:val="36"/>
        </w:rPr>
        <w:t xml:space="preserve">Dataset Reference Document</w:t>
      </w:r>
    </w:p>
    <w:p>
      <w:pPr>
        <w:pBdr>
          <w:bottom w:val="single" w:color="1F4E79" w:sz="12" w:space="1"/>
        </w:pBdr>
        <w:spacing w:after="240" w:before="120"/>
      </w:pPr>
    </w:p>
    <w:p>
      <w:pPr>
        <w:spacing w:after="60" w:before="0"/>
      </w:pPr>
      <w:r>
        <w:rPr>
          <w:rFonts w:ascii="Arial" w:cs="Arial" w:eastAsia="Arial" w:hAnsi="Arial"/>
          <w:color w:val="666666"/>
          <w:sz w:val="20"/>
          <w:szCs w:val="20"/>
        </w:rPr>
        <w:t xml:space="preserve">Release date: 30 March 2026 (IT1)    |    Sources: NCVER, Jobs and Skills Australia, ABS</w:t>
      </w:r>
    </w:p>
    <w:p>
      <w:pPr>
        <w:spacing w:after="60" w:before="0"/>
      </w:pPr>
      <w:r>
        <w:rPr>
          <w:rFonts w:ascii="Arial" w:cs="Arial" w:eastAsia="Arial" w:hAnsi="Arial"/>
          <w:color w:val="666666"/>
          <w:sz w:val="20"/>
          <w:szCs w:val="20"/>
        </w:rPr>
        <w:t xml:space="preserve">7 files: 6 XLSX workbooks + 1 CSV file</w:t>
      </w:r>
    </w:p>
    <w:p>
      <w:pPr>
        <w:spacing w:after="400" w:before="0"/>
      </w:pPr>
      <w:r>
        <w:rPr>
          <w:rFonts w:ascii="Arial" w:cs="Arial" w:eastAsia="Arial" w:hAnsi="Arial"/>
          <w:color w:val="666666"/>
          <w:sz w:val="20"/>
          <w:szCs w:val="20"/>
        </w:rPr>
        <w:t xml:space="preserve">Prepared: April 2026</w:t>
      </w:r>
    </w:p>
    <w:p>
      <w:pPr>
        <w:pStyle w:val="Heading1"/>
        <w:pBdr>
          <w:bottom w:val="single" w:color="1F4E79" w:sz="6" w:space="4"/>
        </w:pBdr>
        <w:spacing w:after="160" w:before="360"/>
      </w:pPr>
      <w:r>
        <w:rPr>
          <w:rFonts w:ascii="Arial" w:cs="Arial" w:eastAsia="Arial" w:hAnsi="Arial"/>
          <w:b/>
          <w:bCs/>
          <w:color w:val="1F4E79"/>
          <w:sz w:val="32"/>
          <w:szCs w:val="32"/>
        </w:rPr>
        <w:t xml:space="preserve">1. Overview</w:t>
      </w:r>
    </w:p>
    <w:p>
      <w:pPr>
        <w:spacing w:after="100" w:before="60"/>
        <w:jc w:val="both"/>
      </w:pPr>
      <w:r>
        <w:rPr>
          <w:rFonts w:ascii="Arial" w:cs="Arial" w:eastAsia="Arial" w:hAnsi="Arial"/>
          <w:color w:val="262626"/>
          <w:sz w:val="22"/>
          <w:szCs w:val="22"/>
        </w:rPr>
        <w:t xml:space="preserve">This document provides a comprehensive reference for the seven datasets released as part of the TA28 Data Group package on 30 March 2026. The datasets collectively cover four domains of Australia's vocational education, training, and labour market ecosystem: occupation shortage intelligence, VET student and graduate outcomes, employer training behaviour, and apprentice and trainee activity monitoring.</w:t>
      </w:r>
    </w:p>
    <w:p>
      <w:pPr>
        <w:spacing w:after="0" w:before="80"/>
      </w:pPr>
    </w:p>
    <w:p>
      <w:pPr>
        <w:spacing w:after="100" w:before="60"/>
        <w:jc w:val="both"/>
      </w:pPr>
      <w:r>
        <w:rPr>
          <w:rFonts w:ascii="Arial" w:cs="Arial" w:eastAsia="Arial" w:hAnsi="Arial"/>
          <w:color w:val="262626"/>
          <w:sz w:val="22"/>
          <w:szCs w:val="22"/>
        </w:rPr>
        <w:t xml:space="preserve">The data are published by two primary organisations:</w:t>
      </w:r>
    </w:p>
    <w:p>
      <w:pPr>
        <w:pStyle w:val="ListParagraph"/>
        <w:numPr>
          <w:ilvl w:val="0"/>
          <w:numId w:val="2"/>
        </w:numPr>
        <w:spacing w:after="40" w:before="40"/>
      </w:pPr>
      <w:r>
        <w:rPr>
          <w:rFonts w:ascii="Arial" w:cs="Arial" w:eastAsia="Arial" w:hAnsi="Arial"/>
          <w:color w:val="262626"/>
          <w:sz w:val="22"/>
          <w:szCs w:val="22"/>
        </w:rPr>
        <w:t xml:space="preserve">The National Centre for Vocational Education Research (NCVER), an independent statutory body responsible for collecting, managing, analysing, and communicating research and statistics about VET in Australia.</w:t>
      </w:r>
    </w:p>
    <w:p>
      <w:pPr>
        <w:pStyle w:val="ListParagraph"/>
        <w:numPr>
          <w:ilvl w:val="0"/>
          <w:numId w:val="2"/>
        </w:numPr>
        <w:spacing w:after="40" w:before="40"/>
      </w:pPr>
      <w:r>
        <w:rPr>
          <w:rFonts w:ascii="Arial" w:cs="Arial" w:eastAsia="Arial" w:hAnsi="Arial"/>
          <w:color w:val="262626"/>
          <w:sz w:val="22"/>
          <w:szCs w:val="22"/>
        </w:rPr>
        <w:t xml:space="preserve">Jobs and Skills Australia (JSA), a statutory authority that provides analysis, information, and advice on Australia's current and future workforce, skills, and training needs.</w:t>
      </w:r>
    </w:p>
    <w:p>
      <w:pPr>
        <w:pStyle w:val="ListParagraph"/>
        <w:numPr>
          <w:ilvl w:val="0"/>
          <w:numId w:val="2"/>
        </w:numPr>
        <w:spacing w:after="40" w:before="40"/>
      </w:pPr>
      <w:r>
        <w:rPr>
          <w:rFonts w:ascii="Arial" w:cs="Arial" w:eastAsia="Arial" w:hAnsi="Arial"/>
          <w:color w:val="262626"/>
          <w:sz w:val="22"/>
          <w:szCs w:val="22"/>
        </w:rPr>
        <w:t xml:space="preserve">The Australian Bureau of Statistics (ABS), which contributes administrative data linkage through the Person Level Integrated Data Asset (PLIDA) used in the VET National Data Asset.</w:t>
      </w:r>
    </w:p>
    <w:p>
      <w:pPr>
        <w:spacing w:after="0" w:before="80"/>
      </w:pPr>
    </w:p>
    <w:p>
      <w:pPr>
        <w:spacing w:after="100" w:before="60"/>
        <w:jc w:val="both"/>
      </w:pPr>
      <w:r>
        <w:rPr>
          <w:rFonts w:ascii="Arial" w:cs="Arial" w:eastAsia="Arial" w:hAnsi="Arial"/>
          <w:color w:val="262626"/>
          <w:sz w:val="22"/>
          <w:szCs w:val="22"/>
        </w:rPr>
        <w:t xml:space="preserve">Together, these datasets can be used for labour market analysis, policy research, program evaluation, skills gap modelling, and workforce planning. They are particularly relevant for Victoria-focused analyses given the inclusion of state-level breakdowns throughout.</w:t>
      </w:r>
    </w:p>
    <w:p>
      <w:pPr>
        <w:pStyle w:val="Heading1"/>
        <w:pBdr>
          <w:bottom w:val="single" w:color="1F4E79" w:sz="6" w:space="4"/>
        </w:pBdr>
        <w:spacing w:after="160" w:before="360"/>
      </w:pPr>
      <w:r>
        <w:rPr>
          <w:rFonts w:ascii="Arial" w:cs="Arial" w:eastAsia="Arial" w:hAnsi="Arial"/>
          <w:b/>
          <w:bCs/>
          <w:color w:val="1F4E79"/>
          <w:sz w:val="32"/>
          <w:szCs w:val="32"/>
        </w:rPr>
        <w:t xml:space="preserve">2. File Inventory</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426"/>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Publisher</w:t>
            </w:r>
          </w:p>
        </w:tc>
        <w:tc>
          <w:tcPr>
            <w:tcW w:type="dxa" w:w="14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Theme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TA28_DG_RawData_OSL2025_ANZSCO6_Full_IT1_20260330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.xlsx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JSA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Occupation shortage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TA28_DG_RawData_OSL2025_ANZSCO6_Filtered_IT1_20260330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.csv</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JSA</w:t>
            </w:r>
          </w:p>
        </w:tc>
        <w:tc>
          <w:tcPr>
            <w:tcW w:type="dxa" w:w="1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Occupation shortage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TA28_DG_RawData_OSD2025_TablesAndFigures_IT1_20260330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.xlsx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JSA</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Shortage drivers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TA28_DG_RawData_VETStudentOutcomes2025_ByQualification_IT1_20260330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.xlsx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NCVER</w:t>
            </w:r>
          </w:p>
        </w:tc>
        <w:tc>
          <w:tcPr>
            <w:tcW w:type="dxa" w:w="1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VET outcomes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TA28_DG_RawData_VNDA_GraduateOutcomes_2020-21_IT1_20260330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.xlsx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JSA + ABS</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VET outcomes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TA28_DG_RawData_SEUV2025_DataTables_IT1_20260330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.xlsx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NCVER</w:t>
            </w:r>
          </w:p>
        </w:tc>
        <w:tc>
          <w:tcPr>
            <w:tcW w:type="dxa" w:w="1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Employer training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TA28_DG_RawData_ApprenticesTrainees2025_SepQtr_IT1_20260330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.xlsx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w:t>
            </w:r>
          </w:p>
        </w:tc>
        <w:tc>
          <w:tcPr>
            <w:tcW w:type="dxa" w:w="1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Apprentices</w:t>
            </w:r>
          </w:p>
        </w:tc>
      </w:tr>
    </w:tbl>
    <w:p>
      <w:pPr>
        <w:spacing w:after="0" w:before="200"/>
      </w:pPr>
    </w:p>
    <w:p>
      <w:pPr>
        <w:pStyle w:val="Heading1"/>
        <w:pBdr>
          <w:bottom w:val="single" w:color="1F4E79" w:sz="6" w:space="4"/>
        </w:pBdr>
        <w:spacing w:after="160" w:before="360"/>
      </w:pPr>
      <w:r>
        <w:rPr>
          <w:rFonts w:ascii="Arial" w:cs="Arial" w:eastAsia="Arial" w:hAnsi="Arial"/>
          <w:b/>
          <w:bCs/>
          <w:color w:val="1F4E79"/>
          <w:sz w:val="32"/>
          <w:szCs w:val="32"/>
        </w:rPr>
        <w:t xml:space="preserve">3. Theme A — Occupation Shortage Intelligence</w:t>
      </w:r>
    </w:p>
    <w:p>
      <w:pPr>
        <w:spacing w:after="100" w:before="60"/>
        <w:jc w:val="both"/>
      </w:pPr>
      <w:r>
        <w:rPr>
          <w:rFonts w:ascii="Arial" w:cs="Arial" w:eastAsia="Arial" w:hAnsi="Arial"/>
          <w:color w:val="262626"/>
          <w:sz w:val="22"/>
          <w:szCs w:val="22"/>
        </w:rPr>
        <w:t xml:space="preserve">Three datasets address the question of which occupations are experiencing workforce shortages in Australia, and why. They are based on the 2025 Occupation Shortage List (OSL) and Occupation Shortage Driver (OSD) analysis produced by Jobs and Skills Australia.</w:t>
      </w:r>
    </w:p>
    <w:p>
      <w:pPr>
        <w:pStyle w:val="Heading2"/>
        <w:spacing w:after="120" w:before="280"/>
      </w:pPr>
      <w:r>
        <w:rPr>
          <w:rFonts w:ascii="Arial" w:cs="Arial" w:eastAsia="Arial" w:hAnsi="Arial"/>
          <w:b/>
          <w:bCs/>
          <w:color w:val="2E75B6"/>
          <w:sz w:val="26"/>
          <w:szCs w:val="26"/>
        </w:rPr>
        <w:t xml:space="preserve">3.1 Occupation Shortage List 2025 — Full ANZSCO6 (XLSX)</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TA28_DG_RawData_OSL2025_ANZSCO6_Full_IT1_20260330.xlsx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Jobs and Skills Australia (JSA)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Sheets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3 (Contents, 2025 OSL ANZSCO 2022, 2025 OSL OSCA 2024)</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Classification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ANZSCO 2022 (6-digit) and OSCA 2024 v1.0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Contact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OccupationShortageList@jobsandskills.gov.au</w:t>
            </w:r>
          </w:p>
        </w:tc>
      </w:tr>
    </w:tbl>
    <w:p>
      <w:pPr>
        <w:spacing w:after="0" w:before="120"/>
      </w:pPr>
    </w:p>
    <w:p>
      <w:pPr>
        <w:pStyle w:val="Heading3"/>
        <w:spacing w:after="80" w:before="200"/>
      </w:pPr>
      <w:r>
        <w:rPr>
          <w:rFonts w:ascii="Arial" w:cs="Arial" w:eastAsia="Arial" w:hAnsi="Arial"/>
          <w:b/>
          <w:bCs/>
          <w:color w:val="404040"/>
          <w:sz w:val="22"/>
          <w:szCs w:val="22"/>
        </w:rPr>
        <w:t xml:space="preserve">Description</w:t>
      </w:r>
    </w:p>
    <w:p>
      <w:pPr>
        <w:spacing w:after="100" w:before="60"/>
        <w:jc w:val="both"/>
      </w:pPr>
      <w:r>
        <w:rPr>
          <w:rFonts w:ascii="Arial" w:cs="Arial" w:eastAsia="Arial" w:hAnsi="Arial"/>
          <w:color w:val="262626"/>
          <w:sz w:val="22"/>
          <w:szCs w:val="22"/>
        </w:rPr>
        <w:t xml:space="preserve">This is the definitive 2025 national Occupation Shortage List, providing official shortage ratings at the 6-digit ANZSCO occupation code level. It contains two rating schemes presented on separate sheets: the 2025 OSL using the ANZSCO 2022 occupation classification, and the 2025 OSL re-coded to the new OSCA 2024 v1.0 classification (the emerging replacement for ANZSCO in Australian policy contexts).</w:t>
      </w:r>
    </w:p>
    <w:p>
      <w:pPr>
        <w:pStyle w:val="Heading3"/>
        <w:spacing w:after="80" w:before="200"/>
      </w:pPr>
      <w:r>
        <w:rPr>
          <w:rFonts w:ascii="Arial" w:cs="Arial" w:eastAsia="Arial" w:hAnsi="Arial"/>
          <w:b/>
          <w:bCs/>
          <w:color w:val="404040"/>
          <w:sz w:val="22"/>
          <w:szCs w:val="22"/>
        </w:rPr>
        <w:t xml:space="preserve">Shortage rating categories</w:t>
      </w:r>
    </w:p>
    <w:p>
      <w:pPr>
        <w:pStyle w:val="ListParagraph"/>
        <w:numPr>
          <w:ilvl w:val="0"/>
          <w:numId w:val="2"/>
        </w:numPr>
        <w:spacing w:after="40" w:before="40"/>
      </w:pPr>
      <w:r>
        <w:rPr>
          <w:rFonts w:ascii="Arial" w:cs="Arial" w:eastAsia="Arial" w:hAnsi="Arial"/>
          <w:color w:val="262626"/>
          <w:sz w:val="22"/>
          <w:szCs w:val="22"/>
        </w:rPr>
        <w:t xml:space="preserve">S — Shortage: The occupation has a national shortage of suitably qualified workers.</w:t>
      </w:r>
    </w:p>
    <w:p>
      <w:pPr>
        <w:pStyle w:val="ListParagraph"/>
        <w:numPr>
          <w:ilvl w:val="0"/>
          <w:numId w:val="2"/>
        </w:numPr>
        <w:spacing w:after="40" w:before="40"/>
      </w:pPr>
      <w:r>
        <w:rPr>
          <w:rFonts w:ascii="Arial" w:cs="Arial" w:eastAsia="Arial" w:hAnsi="Arial"/>
          <w:color w:val="262626"/>
          <w:sz w:val="22"/>
          <w:szCs w:val="22"/>
        </w:rPr>
        <w:t xml:space="preserve">M — Metro Shortage: Shortage concentrated in metropolitan areas.</w:t>
      </w:r>
    </w:p>
    <w:p>
      <w:pPr>
        <w:pStyle w:val="ListParagraph"/>
        <w:numPr>
          <w:ilvl w:val="0"/>
          <w:numId w:val="2"/>
        </w:numPr>
        <w:spacing w:after="40" w:before="40"/>
      </w:pPr>
      <w:r>
        <w:rPr>
          <w:rFonts w:ascii="Arial" w:cs="Arial" w:eastAsia="Arial" w:hAnsi="Arial"/>
          <w:color w:val="262626"/>
          <w:sz w:val="22"/>
          <w:szCs w:val="22"/>
        </w:rPr>
        <w:t xml:space="preserve">R — Regional Shortage: Shortage concentrated in regional or rural areas.</w:t>
      </w:r>
    </w:p>
    <w:p>
      <w:pPr>
        <w:pStyle w:val="ListParagraph"/>
        <w:numPr>
          <w:ilvl w:val="0"/>
          <w:numId w:val="2"/>
        </w:numPr>
        <w:spacing w:after="40" w:before="40"/>
      </w:pPr>
      <w:r>
        <w:rPr>
          <w:rFonts w:ascii="Arial" w:cs="Arial" w:eastAsia="Arial" w:hAnsi="Arial"/>
          <w:color w:val="262626"/>
          <w:sz w:val="22"/>
          <w:szCs w:val="22"/>
        </w:rPr>
        <w:t xml:space="preserve">NS — No Shortage: Supply of qualified workers is adequate nationally.</w:t>
      </w:r>
    </w:p>
    <w:p>
      <w:pPr>
        <w:pStyle w:val="Heading3"/>
        <w:spacing w:after="80" w:before="200"/>
      </w:pPr>
      <w:r>
        <w:rPr>
          <w:rFonts w:ascii="Arial" w:cs="Arial" w:eastAsia="Arial" w:hAnsi="Arial"/>
          <w:b/>
          <w:bCs/>
          <w:color w:val="404040"/>
          <w:sz w:val="22"/>
          <w:szCs w:val="22"/>
        </w:rPr>
        <w:t xml:space="preserve">Key fields</w:t>
      </w:r>
    </w:p>
    <w:p>
      <w:pPr>
        <w:pStyle w:val="ListParagraph"/>
        <w:numPr>
          <w:ilvl w:val="0"/>
          <w:numId w:val="2"/>
        </w:numPr>
        <w:spacing w:after="40" w:before="40"/>
      </w:pPr>
      <w:r>
        <w:rPr>
          <w:rFonts w:ascii="Arial" w:cs="Arial" w:eastAsia="Arial" w:hAnsi="Arial"/>
          <w:color w:val="262626"/>
          <w:sz w:val="22"/>
          <w:szCs w:val="22"/>
        </w:rPr>
        <w:t xml:space="preserve">Occupation code (ANZSCO 2022 or OSCA 2024 code)</w:t>
      </w:r>
    </w:p>
    <w:p>
      <w:pPr>
        <w:pStyle w:val="ListParagraph"/>
        <w:numPr>
          <w:ilvl w:val="0"/>
          <w:numId w:val="2"/>
        </w:numPr>
        <w:spacing w:after="40" w:before="40"/>
      </w:pPr>
      <w:r>
        <w:rPr>
          <w:rFonts w:ascii="Arial" w:cs="Arial" w:eastAsia="Arial" w:hAnsi="Arial"/>
          <w:color w:val="262626"/>
          <w:sz w:val="22"/>
          <w:szCs w:val="22"/>
        </w:rPr>
        <w:t xml:space="preserve">Occupation title</w:t>
      </w:r>
    </w:p>
    <w:p>
      <w:pPr>
        <w:pStyle w:val="ListParagraph"/>
        <w:numPr>
          <w:ilvl w:val="0"/>
          <w:numId w:val="2"/>
        </w:numPr>
        <w:spacing w:after="40" w:before="40"/>
      </w:pPr>
      <w:r>
        <w:rPr>
          <w:rFonts w:ascii="Arial" w:cs="Arial" w:eastAsia="Arial" w:hAnsi="Arial"/>
          <w:color w:val="262626"/>
          <w:sz w:val="22"/>
          <w:szCs w:val="22"/>
        </w:rPr>
        <w:t xml:space="preserve">National shortage rating (S / M / R / NS)</w:t>
      </w:r>
    </w:p>
    <w:p>
      <w:pPr>
        <w:pStyle w:val="ListParagraph"/>
        <w:numPr>
          <w:ilvl w:val="0"/>
          <w:numId w:val="2"/>
        </w:numPr>
        <w:spacing w:after="40" w:before="40"/>
      </w:pPr>
      <w:r>
        <w:rPr>
          <w:rFonts w:ascii="Arial" w:cs="Arial" w:eastAsia="Arial" w:hAnsi="Arial"/>
          <w:color w:val="262626"/>
          <w:sz w:val="22"/>
          <w:szCs w:val="22"/>
        </w:rPr>
        <w:t xml:space="preserve">State and territory ratings: NSW, VIC, QLD, SA, WA, TAS, NT, ACT</w:t>
      </w:r>
    </w:p>
    <w:p>
      <w:pPr>
        <w:pStyle w:val="ListParagraph"/>
        <w:numPr>
          <w:ilvl w:val="0"/>
          <w:numId w:val="2"/>
        </w:numPr>
        <w:spacing w:after="40" w:before="40"/>
      </w:pPr>
      <w:r>
        <w:rPr>
          <w:rFonts w:ascii="Arial" w:cs="Arial" w:eastAsia="Arial" w:hAnsi="Arial"/>
          <w:color w:val="262626"/>
          <w:sz w:val="22"/>
          <w:szCs w:val="22"/>
        </w:rPr>
        <w:t xml:space="preserve">Skill level (1 to 5)</w:t>
      </w:r>
    </w:p>
    <w:p>
      <w:pPr>
        <w:pStyle w:val="ListParagraph"/>
        <w:numPr>
          <w:ilvl w:val="0"/>
          <w:numId w:val="2"/>
        </w:numPr>
        <w:spacing w:after="40" w:before="40"/>
      </w:pPr>
      <w:r>
        <w:rPr>
          <w:rFonts w:ascii="Arial" w:cs="Arial" w:eastAsia="Arial" w:hAnsi="Arial"/>
          <w:color w:val="262626"/>
          <w:sz w:val="22"/>
          <w:szCs w:val="22"/>
        </w:rPr>
        <w:t xml:space="preserve">Major Occupation Group (1-digit ANZSCO)</w:t>
      </w:r>
    </w:p>
    <w:p>
      <w:pPr>
        <w:pStyle w:val="Heading3"/>
        <w:spacing w:after="80" w:before="200"/>
      </w:pPr>
      <w:r>
        <w:rPr>
          <w:rFonts w:ascii="Arial" w:cs="Arial" w:eastAsia="Arial" w:hAnsi="Arial"/>
          <w:b/>
          <w:bCs/>
          <w:color w:val="404040"/>
          <w:sz w:val="22"/>
          <w:szCs w:val="22"/>
        </w:rPr>
        <w:t xml:space="preserve">Usage notes</w:t>
      </w:r>
    </w:p>
    <w:p>
      <w:pPr>
        <w:spacing w:after="100" w:before="60"/>
        <w:jc w:val="both"/>
      </w:pPr>
      <w:r>
        <w:rPr>
          <w:rFonts w:ascii="Arial" w:cs="Arial" w:eastAsia="Arial" w:hAnsi="Arial"/>
          <w:color w:val="262626"/>
          <w:sz w:val="22"/>
          <w:szCs w:val="22"/>
        </w:rPr>
        <w:t xml:space="preserve">This file is the master reference for occupation-level shortage status. The state-level columns make it joinable to Victoria-specific analyses. The dual classification system (ANZSCO vs. OSCA) allows compatibility with both legacy and emerging data infrastructures.</w:t>
      </w:r>
    </w:p>
    <w:p>
      <w:pPr>
        <w:pStyle w:val="Heading2"/>
        <w:spacing w:after="120" w:before="280"/>
      </w:pPr>
      <w:r>
        <w:rPr>
          <w:rFonts w:ascii="Arial" w:cs="Arial" w:eastAsia="Arial" w:hAnsi="Arial"/>
          <w:b/>
          <w:bCs/>
          <w:color w:val="2E75B6"/>
          <w:sz w:val="26"/>
          <w:szCs w:val="26"/>
        </w:rPr>
        <w:t xml:space="preserve">3.2 Occupation Shortage List 2025 — Filtered, Victoria Focus (CSV)</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TA28_DG_RawData_OSL2025_ANZSCO6_Filtered_IT1_20260330.csv</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Jobs and Skills Australia (JSA)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Format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CSV — 916 rows, 5 columns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Scope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Subset of 2025 OSL with both national and Victorian ratings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Occupations in shortage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252 national shortage, 20 regional shortage, 1 metro shortage</w:t>
            </w:r>
          </w:p>
        </w:tc>
      </w:tr>
    </w:tbl>
    <w:p>
      <w:pPr>
        <w:spacing w:after="0" w:before="120"/>
      </w:pPr>
    </w:p>
    <w:p>
      <w:pPr>
        <w:pStyle w:val="Heading3"/>
        <w:spacing w:after="80" w:before="200"/>
      </w:pPr>
      <w:r>
        <w:rPr>
          <w:rFonts w:ascii="Arial" w:cs="Arial" w:eastAsia="Arial" w:hAnsi="Arial"/>
          <w:b/>
          <w:bCs/>
          <w:color w:val="404040"/>
          <w:sz w:val="22"/>
          <w:szCs w:val="22"/>
        </w:rPr>
        <w:t xml:space="preserve">Description</w:t>
      </w:r>
    </w:p>
    <w:p>
      <w:pPr>
        <w:spacing w:after="100" w:before="60"/>
        <w:jc w:val="both"/>
      </w:pPr>
      <w:r>
        <w:rPr>
          <w:rFonts w:ascii="Arial" w:cs="Arial" w:eastAsia="Arial" w:hAnsi="Arial"/>
          <w:color w:val="262626"/>
          <w:sz w:val="22"/>
          <w:szCs w:val="22"/>
        </w:rPr>
        <w:t xml:space="preserve">A pre-filtered subset of the full 2025 Occupation Shortage List, retaining 916 occupation entries with both a national shortage rating and a separate Victorian rating. This is the most operationally useful file for Victoria-focused workforce analysis and does not require any further filtering or manipulation to use.</w:t>
      </w:r>
    </w:p>
    <w:p>
      <w:pPr>
        <w:pStyle w:val="Heading3"/>
        <w:spacing w:after="80" w:before="200"/>
      </w:pPr>
      <w:r>
        <w:rPr>
          <w:rFonts w:ascii="Arial" w:cs="Arial" w:eastAsia="Arial" w:hAnsi="Arial"/>
          <w:b/>
          <w:bCs/>
          <w:color w:val="404040"/>
          <w:sz w:val="22"/>
          <w:szCs w:val="22"/>
        </w:rPr>
        <w:t xml:space="preserve">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Integer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6-digit ANZSCO occupation code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Occupation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String</w:t>
            </w:r>
          </w:p>
        </w:tc>
        <w:tc>
          <w:tcPr>
            <w:tcW w:type="dxa" w:w="5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Full occupation title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National Shortage 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National rating: Shortage / No shortage / Regional shortage / Metro shortage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Victoria Shortage Rating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String</w:t>
            </w:r>
          </w:p>
        </w:tc>
        <w:tc>
          <w:tcPr>
            <w:tcW w:type="dxa" w:w="5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Victoria-specific rating using the same categories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Skill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Integer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ANZSCO skill level 1 (highest) to 4</w:t>
            </w:r>
          </w:p>
        </w:tc>
      </w:tr>
    </w:tbl>
    <w:p>
      <w:pPr>
        <w:spacing w:after="0" w:before="120"/>
      </w:pPr>
    </w:p>
    <w:p>
      <w:pPr>
        <w:pStyle w:val="Heading3"/>
        <w:spacing w:after="80" w:before="200"/>
      </w:pPr>
      <w:r>
        <w:rPr>
          <w:rFonts w:ascii="Arial" w:cs="Arial" w:eastAsia="Arial" w:hAnsi="Arial"/>
          <w:b/>
          <w:bCs/>
          <w:color w:val="404040"/>
          <w:sz w:val="22"/>
          <w:szCs w:val="22"/>
        </w:rPr>
        <w:t xml:space="preserve">Distribution of ratings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National count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Victoria count</w:t>
            </w:r>
          </w:p>
        </w:tc>
        <w:tc>
          <w:tcPr>
            <w:tcW w:type="dxa" w:w="24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Skill level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Shortage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252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253</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1–4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Regional shortage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23</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Metro shortage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1</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No shortage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643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639</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916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916</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w:t>
            </w:r>
          </w:p>
        </w:tc>
      </w:tr>
    </w:tbl>
    <w:p>
      <w:pPr>
        <w:pStyle w:val="Heading2"/>
        <w:spacing w:after="120" w:before="280"/>
      </w:pPr>
      <w:r>
        <w:rPr>
          <w:rFonts w:ascii="Arial" w:cs="Arial" w:eastAsia="Arial" w:hAnsi="Arial"/>
          <w:b/>
          <w:bCs/>
          <w:color w:val="2E75B6"/>
          <w:sz w:val="26"/>
          <w:szCs w:val="26"/>
        </w:rPr>
        <w:t xml:space="preserve">3.3 Occupation Shortage Driver Report 2025 (XLSX)</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TA28_DG_RawData_OSD2025_TablesAndFigures_IT1_20260330.xlsx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Jobs and Skills Australia (JSA)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Sheets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19 (Contents, Tables 1–8, Tables B1–B3, Figures 1–5, Figures C1–C2)</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Classification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ANZSCO 2022 unit groups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Note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2023 and 2024 OSD results were recreated using updated methodology; not directly comparable to previously published results</w:t>
            </w:r>
          </w:p>
        </w:tc>
      </w:tr>
    </w:tbl>
    <w:p>
      <w:pPr>
        <w:spacing w:after="0" w:before="120"/>
      </w:pPr>
    </w:p>
    <w:p>
      <w:pPr>
        <w:pStyle w:val="Heading3"/>
        <w:spacing w:after="80" w:before="200"/>
      </w:pPr>
      <w:r>
        <w:rPr>
          <w:rFonts w:ascii="Arial" w:cs="Arial" w:eastAsia="Arial" w:hAnsi="Arial"/>
          <w:b/>
          <w:bCs/>
          <w:color w:val="404040"/>
          <w:sz w:val="22"/>
          <w:szCs w:val="22"/>
        </w:rPr>
        <w:t xml:space="preserve">Description</w:t>
      </w:r>
    </w:p>
    <w:p>
      <w:pPr>
        <w:spacing w:after="100" w:before="60"/>
        <w:jc w:val="both"/>
      </w:pPr>
      <w:r>
        <w:rPr>
          <w:rFonts w:ascii="Arial" w:cs="Arial" w:eastAsia="Arial" w:hAnsi="Arial"/>
          <w:color w:val="262626"/>
          <w:sz w:val="22"/>
          <w:szCs w:val="22"/>
        </w:rPr>
        <w:t xml:space="preserve">This report classifies each occupation in shortage according to the root cause of that shortage, drawing on multiple labour market indicators. It answers the question: given that this occupation is in shortage, why is it in shortage? This diagnosis is critical for policy design, because different shortage drivers require different interventions.</w:t>
      </w:r>
    </w:p>
    <w:p>
      <w:pPr>
        <w:pStyle w:val="Heading3"/>
        <w:spacing w:after="80" w:before="200"/>
      </w:pPr>
      <w:r>
        <w:rPr>
          <w:rFonts w:ascii="Arial" w:cs="Arial" w:eastAsia="Arial" w:hAnsi="Arial"/>
          <w:b/>
          <w:bCs/>
          <w:color w:val="404040"/>
          <w:sz w:val="22"/>
          <w:szCs w:val="22"/>
        </w:rPr>
        <w:t xml:space="preserve">The four shortage driver types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Driver</w:t>
            </w:r>
          </w:p>
        </w:tc>
        <w:tc>
          <w:tcPr>
            <w:tcW w:type="dxa" w:w="68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Definition and policy implication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Long training gap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Few qualified applicants per vacancy; training pathway is Certificate III or above (long lead time). Solution: expand training pipeline, though results take years.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Short training gap</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Few qualified applicants; required qualification is below Certificate III. Solution: short-cycle training uplift can respond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Suitability gap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Enough qualified applicants but employers find them unsuitable — due to lack of work experience, employability skills, or employer bias. Solution: work-readiness programs, employer expectations management.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Retention gap</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Below-average retention rates; workers leave due to low pay, poor conditions, or lack of access to services. Solution: improve wages, working conditions, workplace culture.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Uncertain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Does not satisfy any of the above criteria — driver cannot be conclusively identified.</w:t>
            </w:r>
          </w:p>
        </w:tc>
      </w:tr>
    </w:tbl>
    <w:p>
      <w:pPr>
        <w:spacing w:after="0" w:before="120"/>
      </w:pPr>
    </w:p>
    <w:p>
      <w:pPr>
        <w:pStyle w:val="Heading3"/>
        <w:spacing w:after="80" w:before="200"/>
      </w:pPr>
      <w:r>
        <w:rPr>
          <w:rFonts w:ascii="Arial" w:cs="Arial" w:eastAsia="Arial" w:hAnsi="Arial"/>
          <w:b/>
          <w:bCs/>
          <w:color w:val="404040"/>
          <w:sz w:val="22"/>
          <w:szCs w:val="22"/>
        </w:rPr>
        <w:t xml:space="preserve">Key metrics used</w:t>
      </w:r>
    </w:p>
    <w:p>
      <w:pPr>
        <w:pStyle w:val="ListParagraph"/>
        <w:numPr>
          <w:ilvl w:val="0"/>
          <w:numId w:val="2"/>
        </w:numPr>
        <w:spacing w:after="40" w:before="40"/>
      </w:pPr>
      <w:r>
        <w:rPr>
          <w:rFonts w:ascii="Arial" w:cs="Arial" w:eastAsia="Arial" w:hAnsi="Arial"/>
          <w:color w:val="262626"/>
          <w:sz w:val="22"/>
          <w:szCs w:val="22"/>
        </w:rPr>
        <w:t xml:space="preserve">5-year employment growth (from JSA Labour Force Trending database)</w:t>
      </w:r>
    </w:p>
    <w:p>
      <w:pPr>
        <w:pStyle w:val="ListParagraph"/>
        <w:numPr>
          <w:ilvl w:val="0"/>
          <w:numId w:val="2"/>
        </w:numPr>
        <w:spacing w:after="40" w:before="40"/>
      </w:pPr>
      <w:r>
        <w:rPr>
          <w:rFonts w:ascii="Arial" w:cs="Arial" w:eastAsia="Arial" w:hAnsi="Arial"/>
          <w:color w:val="262626"/>
          <w:sz w:val="22"/>
          <w:szCs w:val="22"/>
        </w:rPr>
        <w:t xml:space="preserve">5-year average Internet Vacancy Index (IVI) to Unemployed Persons (UE) ratio — a measure of vacancy demand relative to unemployed labour supply</w:t>
      </w:r>
    </w:p>
    <w:p>
      <w:pPr>
        <w:pStyle w:val="ListParagraph"/>
        <w:numPr>
          <w:ilvl w:val="0"/>
          <w:numId w:val="2"/>
        </w:numPr>
        <w:spacing w:after="40" w:before="40"/>
      </w:pPr>
      <w:r>
        <w:rPr>
          <w:rFonts w:ascii="Arial" w:cs="Arial" w:eastAsia="Arial" w:hAnsi="Arial"/>
          <w:color w:val="262626"/>
          <w:sz w:val="22"/>
          <w:szCs w:val="22"/>
        </w:rPr>
        <w:t xml:space="preserve">Labour Shortage Index (LSI) — a composite standardised score combining multiple shortage indicators</w:t>
      </w:r>
    </w:p>
    <w:p>
      <w:pPr>
        <w:pStyle w:val="ListParagraph"/>
        <w:numPr>
          <w:ilvl w:val="0"/>
          <w:numId w:val="2"/>
        </w:numPr>
        <w:spacing w:after="40" w:before="40"/>
      </w:pPr>
      <w:r>
        <w:rPr>
          <w:rFonts w:ascii="Arial" w:cs="Arial" w:eastAsia="Arial" w:hAnsi="Arial"/>
          <w:color w:val="262626"/>
          <w:sz w:val="22"/>
          <w:szCs w:val="22"/>
        </w:rPr>
        <w:t xml:space="preserve">Standardised hourly earnings and fill rates (from JSA SERA, 2021-22 to 2024-25 financial years)</w:t>
      </w:r>
    </w:p>
    <w:p>
      <w:pPr>
        <w:pStyle w:val="ListParagraph"/>
        <w:numPr>
          <w:ilvl w:val="0"/>
          <w:numId w:val="2"/>
        </w:numPr>
        <w:spacing w:after="40" w:before="40"/>
      </w:pPr>
      <w:r>
        <w:rPr>
          <w:rFonts w:ascii="Arial" w:cs="Arial" w:eastAsia="Arial" w:hAnsi="Arial"/>
          <w:color w:val="262626"/>
          <w:sz w:val="22"/>
          <w:szCs w:val="22"/>
        </w:rPr>
        <w:t xml:space="preserve">Number of qualified applicants per vacancy (from JSA recruiting employer data)</w:t>
      </w:r>
    </w:p>
    <w:p>
      <w:pPr>
        <w:pStyle w:val="Heading3"/>
        <w:spacing w:after="80" w:before="200"/>
      </w:pPr>
      <w:r>
        <w:rPr>
          <w:rFonts w:ascii="Arial" w:cs="Arial" w:eastAsia="Arial" w:hAnsi="Arial"/>
          <w:b/>
          <w:bCs/>
          <w:color w:val="404040"/>
          <w:sz w:val="22"/>
          <w:szCs w:val="22"/>
        </w:rPr>
        <w:t xml:space="preserve">Tables of special interest</w:t>
      </w:r>
    </w:p>
    <w:p>
      <w:pPr>
        <w:pStyle w:val="ListParagraph"/>
        <w:numPr>
          <w:ilvl w:val="0"/>
          <w:numId w:val="2"/>
        </w:numPr>
        <w:spacing w:after="40" w:before="40"/>
      </w:pPr>
      <w:r>
        <w:rPr>
          <w:rFonts w:ascii="Arial" w:cs="Arial" w:eastAsia="Arial" w:hAnsi="Arial"/>
          <w:color w:val="262626"/>
          <w:sz w:val="22"/>
          <w:szCs w:val="22"/>
        </w:rPr>
        <w:t xml:space="preserve">Table 2: Top 10 largest employing unit groups by shortage driver</w:t>
      </w:r>
    </w:p>
    <w:p>
      <w:pPr>
        <w:pStyle w:val="ListParagraph"/>
        <w:numPr>
          <w:ilvl w:val="0"/>
          <w:numId w:val="2"/>
        </w:numPr>
        <w:spacing w:after="40" w:before="40"/>
      </w:pPr>
      <w:r>
        <w:rPr>
          <w:rFonts w:ascii="Arial" w:cs="Arial" w:eastAsia="Arial" w:hAnsi="Arial"/>
          <w:color w:val="262626"/>
          <w:sz w:val="22"/>
          <w:szCs w:val="22"/>
        </w:rPr>
        <w:t xml:space="preserve">Table 3: Unit groups that changed shortage drivers between 2024 and 2025</w:t>
      </w:r>
    </w:p>
    <w:p>
      <w:pPr>
        <w:pStyle w:val="ListParagraph"/>
        <w:numPr>
          <w:ilvl w:val="0"/>
          <w:numId w:val="2"/>
        </w:numPr>
        <w:spacing w:after="40" w:before="40"/>
      </w:pPr>
      <w:r>
        <w:rPr>
          <w:rFonts w:ascii="Arial" w:cs="Arial" w:eastAsia="Arial" w:hAnsi="Arial"/>
          <w:color w:val="262626"/>
          <w:sz w:val="22"/>
          <w:szCs w:val="22"/>
        </w:rPr>
        <w:t xml:space="preserve">Tables B1–B3: Occupations no longer in shortage, newly in shortage, and those with unchanged driver</w:t>
      </w:r>
    </w:p>
    <w:p>
      <w:pPr>
        <w:spacing w:after="0" w:before="200"/>
      </w:pPr>
    </w:p>
    <w:p>
      <w:pPr>
        <w:pStyle w:val="Heading1"/>
        <w:pBdr>
          <w:bottom w:val="single" w:color="1F4E79" w:sz="6" w:space="4"/>
        </w:pBdr>
        <w:spacing w:after="160" w:before="360"/>
      </w:pPr>
      <w:r>
        <w:rPr>
          <w:rFonts w:ascii="Arial" w:cs="Arial" w:eastAsia="Arial" w:hAnsi="Arial"/>
          <w:b/>
          <w:bCs/>
          <w:color w:val="1F4E79"/>
          <w:sz w:val="32"/>
          <w:szCs w:val="32"/>
        </w:rPr>
        <w:t xml:space="preserve">4. Theme B — VET Student and Graduate Outcomes</w:t>
      </w:r>
    </w:p>
    <w:p>
      <w:pPr>
        <w:spacing w:after="100" w:before="60"/>
        <w:jc w:val="both"/>
      </w:pPr>
      <w:r>
        <w:rPr>
          <w:rFonts w:ascii="Arial" w:cs="Arial" w:eastAsia="Arial" w:hAnsi="Arial"/>
          <w:color w:val="262626"/>
          <w:sz w:val="22"/>
          <w:szCs w:val="22"/>
        </w:rPr>
        <w:t xml:space="preserve">Two datasets track what happens to students and graduates of the Australian Vocational Education and Training system. They differ substantially in methodology: one is a survey, the other is an administrative data linkage.</w:t>
      </w:r>
    </w:p>
    <w:p>
      <w:pPr>
        <w:pStyle w:val="Heading2"/>
        <w:spacing w:after="120" w:before="280"/>
      </w:pPr>
      <w:r>
        <w:rPr>
          <w:rFonts w:ascii="Arial" w:cs="Arial" w:eastAsia="Arial" w:hAnsi="Arial"/>
          <w:b/>
          <w:bCs/>
          <w:color w:val="2E75B6"/>
          <w:sz w:val="26"/>
          <w:szCs w:val="26"/>
        </w:rPr>
        <w:t xml:space="preserve">4.1 VET Student Outcomes 2025 — By Qualification (XLSX)</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TA28_DG_RawData_VETStudentOutcomes2025_ByQualification_IT1_20260330.xlsx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 — National Student Outcomes Survey 2025</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Sheets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6 (Index, Overview, Estimates, Margins of error, Explanatory notes, Copyright)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Survey population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Students who completed nationally recognised VET in 2024; data collected 2025</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Scope restriction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Qualifications with 100 or more completer responses only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Contact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vet_req@ncver.edu.au / (08) 8230 8400</w:t>
            </w:r>
          </w:p>
        </w:tc>
      </w:tr>
    </w:tbl>
    <w:p>
      <w:pPr>
        <w:spacing w:after="0" w:before="120"/>
      </w:pPr>
    </w:p>
    <w:p>
      <w:pPr>
        <w:pStyle w:val="Heading3"/>
        <w:spacing w:after="80" w:before="200"/>
      </w:pPr>
      <w:r>
        <w:rPr>
          <w:rFonts w:ascii="Arial" w:cs="Arial" w:eastAsia="Arial" w:hAnsi="Arial"/>
          <w:b/>
          <w:bCs/>
          <w:color w:val="404040"/>
          <w:sz w:val="22"/>
          <w:szCs w:val="22"/>
        </w:rPr>
        <w:t xml:space="preserve">Description</w:t>
      </w:r>
    </w:p>
    <w:p>
      <w:pPr>
        <w:spacing w:after="100" w:before="60"/>
        <w:jc w:val="both"/>
      </w:pPr>
      <w:r>
        <w:rPr>
          <w:rFonts w:ascii="Arial" w:cs="Arial" w:eastAsia="Arial" w:hAnsi="Arial"/>
          <w:color w:val="262626"/>
          <w:sz w:val="22"/>
          <w:szCs w:val="22"/>
        </w:rPr>
        <w:t xml:space="preserve">This dataset provides survey-based outcomes for qualification completers in the VET system, broken down by individual qualification. It is derived from the annual National Student Outcomes Survey (NSOS), which is segmented by training type: qualification completers, qualification part-completers, nationally recognised short course students, and subject-only completers. This file covers qualification completers only.</w:t>
      </w:r>
    </w:p>
    <w:p>
      <w:pPr>
        <w:pStyle w:val="Heading3"/>
        <w:spacing w:after="80" w:before="200"/>
      </w:pPr>
      <w:r>
        <w:rPr>
          <w:rFonts w:ascii="Arial" w:cs="Arial" w:eastAsia="Arial" w:hAnsi="Arial"/>
          <w:b/>
          <w:bCs/>
          <w:color w:val="404040"/>
          <w:sz w:val="22"/>
          <w:szCs w:val="22"/>
        </w:rPr>
        <w:t xml:space="preserve">Key fields in the Estimates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Program ID / Program name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Qualification code and full title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Field of education</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Broad field of education classification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Qualification level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AQF level (Certificate I through Diploma and above)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Number of respondents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Sample size for this qualification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Employed or in further study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 of completers employed or continuing study after training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Improved employment status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 who reported improved employment outcomes after training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Commenced further study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 who enrolled in additional study after completing the qualification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Satisfied with training</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 satisfied with the training received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Median annual income ($)</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Median income of those employed full-time in first job after training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Top 3 occupations + %</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Top 3 occupations of those employed after training with percentage share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Top 3 industries + %</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Top 3 industries of those employed after training with percentage share</w:t>
            </w:r>
          </w:p>
        </w:tc>
      </w:tr>
    </w:tbl>
    <w:p>
      <w:pPr>
        <w:spacing w:after="0" w:before="120"/>
      </w:pPr>
    </w:p>
    <w:p>
      <w:pPr>
        <w:pStyle w:val="Heading3"/>
        <w:spacing w:after="80" w:before="200"/>
      </w:pPr>
      <w:r>
        <w:rPr>
          <w:rFonts w:ascii="Arial" w:cs="Arial" w:eastAsia="Arial" w:hAnsi="Arial"/>
          <w:b/>
          <w:bCs/>
          <w:color w:val="404040"/>
          <w:sz w:val="22"/>
          <w:szCs w:val="22"/>
        </w:rPr>
        <w:t xml:space="preserve">Usage notes</w:t>
      </w:r>
    </w:p>
    <w:p>
      <w:pPr>
        <w:spacing w:after="100" w:before="60"/>
        <w:jc w:val="both"/>
      </w:pPr>
      <w:r>
        <w:rPr>
          <w:rFonts w:ascii="Arial" w:cs="Arial" w:eastAsia="Arial" w:hAnsi="Arial"/>
          <w:color w:val="262626"/>
          <w:sz w:val="22"/>
          <w:szCs w:val="22"/>
        </w:rPr>
        <w:t xml:space="preserve">The Margins of error sheet provides confidence intervals for all estimates in the Estimates sheet. Because this is survey data, estimates for small qualifications are excluded (below 100 respondents) and all figures carry statistical uncertainty. This file should be read alongside the National Student Outcomes Survey 2025 technical notes available at NCVER's website.</w:t>
      </w:r>
    </w:p>
    <w:p>
      <w:pPr>
        <w:pStyle w:val="Heading2"/>
        <w:spacing w:after="120" w:before="280"/>
      </w:pPr>
      <w:r>
        <w:rPr>
          <w:rFonts w:ascii="Arial" w:cs="Arial" w:eastAsia="Arial" w:hAnsi="Arial"/>
          <w:b/>
          <w:bCs/>
          <w:color w:val="2E75B6"/>
          <w:sz w:val="26"/>
          <w:szCs w:val="26"/>
        </w:rPr>
        <w:t xml:space="preserve">4.2 VET National Data Asset — Graduate Outcomes 2020-21 (XLSX)</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TA28_DG_RawData_VNDA_GraduateOutcomes_2020-21_IT1_20260330.xlsx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Jobs and Skills Australia (JSA) + Australian Bureau of Statistics (ABS)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Data linkage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PLIDA: Total VET Activity + ATO tax records + Dept. of Education + DSS income support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Sheets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9 (Contents, Data Dictionary, Tables 1–7)</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Graduate cohort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418,000+ domestic non-school students completing nationally recognised VET in 2020-21</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Income reference year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FY 2021-22 (one year post-graduation); inflation-adjusted for prior-year comparisons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Contact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vnda@jobsandskills.gov.au</w:t>
            </w:r>
          </w:p>
        </w:tc>
      </w:tr>
    </w:tbl>
    <w:p>
      <w:pPr>
        <w:spacing w:after="0" w:before="120"/>
      </w:pPr>
    </w:p>
    <w:p>
      <w:pPr>
        <w:pStyle w:val="Heading3"/>
        <w:spacing w:after="80" w:before="200"/>
      </w:pPr>
      <w:r>
        <w:rPr>
          <w:rFonts w:ascii="Arial" w:cs="Arial" w:eastAsia="Arial" w:hAnsi="Arial"/>
          <w:b/>
          <w:bCs/>
          <w:color w:val="404040"/>
          <w:sz w:val="22"/>
          <w:szCs w:val="22"/>
        </w:rPr>
        <w:t xml:space="preserve">Description</w:t>
      </w:r>
    </w:p>
    <w:p>
      <w:pPr>
        <w:spacing w:after="100" w:before="60"/>
        <w:jc w:val="both"/>
      </w:pPr>
      <w:r>
        <w:rPr>
          <w:rFonts w:ascii="Arial" w:cs="Arial" w:eastAsia="Arial" w:hAnsi="Arial"/>
          <w:color w:val="262626"/>
          <w:sz w:val="22"/>
          <w:szCs w:val="22"/>
        </w:rPr>
        <w:t xml:space="preserve">The VET National Data Asset (VNDA) is an administrative data linkage initiative established by Jobs and Skills Australia in partnership with the ABS. It links individual-level records from NCVER's Total VET Activity (TVA) collection to the ATO's tax data, the Department of Education's records, and the Department of Social Services' income support data, all via the Person Level Integrated Data Asset (PLIDA).</w:t>
      </w:r>
    </w:p>
    <w:p>
      <w:pPr>
        <w:spacing w:after="100" w:before="60"/>
        <w:jc w:val="both"/>
      </w:pPr>
      <w:r>
        <w:rPr>
          <w:rFonts w:ascii="Arial" w:cs="Arial" w:eastAsia="Arial" w:hAnsi="Arial"/>
          <w:color w:val="262626"/>
          <w:sz w:val="22"/>
          <w:szCs w:val="22"/>
        </w:rPr>
        <w:t xml:space="preserve">Unlike the survey-based student outcomes data, the VNDA captures actual income and employment transitions derived from tax and benefits records, providing a more objective longitudinal picture of graduate economic outcomes. The 2020-21 release covers over 418,000 graduates.</w:t>
      </w:r>
    </w:p>
    <w:p>
      <w:pPr>
        <w:pStyle w:val="Heading3"/>
        <w:spacing w:after="80" w:before="200"/>
      </w:pPr>
      <w:r>
        <w:rPr>
          <w:rFonts w:ascii="Arial" w:cs="Arial" w:eastAsia="Arial" w:hAnsi="Arial"/>
          <w:b/>
          <w:bCs/>
          <w:color w:val="404040"/>
          <w:sz w:val="22"/>
          <w:szCs w:val="22"/>
        </w:rPr>
        <w:t xml:space="preserve">Sheet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Sheet</w:t>
            </w:r>
          </w:p>
        </w:tc>
        <w:tc>
          <w:tcPr>
            <w:tcW w:type="dxa" w:w="58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1. National and cohort results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Outcomes by demographic cohort nationally: gender, First Nations status, disability, CALD status, apprentice status, age, prior employment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2. State results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State and territory breakdowns of key outcome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3. AQF results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Outcomes by AQF qualification level, nationally and by state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4. AQF-FOE (National) results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Outcomes by AQF level crossed with broad Field of Education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5. AQF-FOE (State) results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Same AQF-FOE cross-tab disaggregated by state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6. Qualification results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Individual qualification-level outcomes (nationally)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7. Qualification by occupation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Cross-tabulation of graduate qualifications against the occupations graduates work in post-graduation</w:t>
            </w:r>
          </w:p>
        </w:tc>
      </w:tr>
    </w:tbl>
    <w:p>
      <w:pPr>
        <w:spacing w:after="0" w:before="120"/>
      </w:pPr>
    </w:p>
    <w:p>
      <w:pPr>
        <w:pStyle w:val="Heading3"/>
        <w:spacing w:after="80" w:before="200"/>
      </w:pPr>
      <w:r>
        <w:rPr>
          <w:rFonts w:ascii="Arial" w:cs="Arial" w:eastAsia="Arial" w:hAnsi="Arial"/>
          <w:b/>
          <w:bCs/>
          <w:color w:val="404040"/>
          <w:sz w:val="22"/>
          <w:szCs w:val="22"/>
        </w:rPr>
        <w:t xml:space="preserve">Key outcome variables (from Data Dictionary)</w:t>
      </w:r>
    </w:p>
    <w:p>
      <w:pPr>
        <w:pStyle w:val="ListParagraph"/>
        <w:numPr>
          <w:ilvl w:val="0"/>
          <w:numId w:val="2"/>
        </w:numPr>
        <w:spacing w:after="40" w:before="40"/>
      </w:pPr>
      <w:r>
        <w:rPr>
          <w:rFonts w:ascii="Arial" w:cs="Arial" w:eastAsia="Arial" w:hAnsi="Arial"/>
          <w:color w:val="262626"/>
          <w:sz w:val="22"/>
          <w:szCs w:val="22"/>
        </w:rPr>
        <w:t xml:space="preserve">Pct_Employed_Rate_Prior / Post: % earning employee income before enrolment and in FY 2021-22</w:t>
      </w:r>
    </w:p>
    <w:p>
      <w:pPr>
        <w:pStyle w:val="ListParagraph"/>
        <w:numPr>
          <w:ilvl w:val="0"/>
          <w:numId w:val="2"/>
        </w:numPr>
        <w:spacing w:after="40" w:before="40"/>
      </w:pPr>
      <w:r>
        <w:rPr>
          <w:rFonts w:ascii="Arial" w:cs="Arial" w:eastAsia="Arial" w:hAnsi="Arial"/>
          <w:color w:val="262626"/>
          <w:sz w:val="22"/>
          <w:szCs w:val="22"/>
        </w:rPr>
        <w:t xml:space="preserve">Pct_Employed_FT_prior / Post: % working full-time before enrolment and after</w:t>
      </w:r>
    </w:p>
    <w:p>
      <w:pPr>
        <w:pStyle w:val="ListParagraph"/>
        <w:numPr>
          <w:ilvl w:val="0"/>
          <w:numId w:val="2"/>
        </w:numPr>
        <w:spacing w:after="40" w:before="40"/>
      </w:pPr>
      <w:r>
        <w:rPr>
          <w:rFonts w:ascii="Arial" w:cs="Arial" w:eastAsia="Arial" w:hAnsi="Arial"/>
          <w:color w:val="262626"/>
          <w:sz w:val="22"/>
          <w:szCs w:val="22"/>
        </w:rPr>
        <w:t xml:space="preserve">Pct_Employed_PT_prior / Post: % working part-time before and after</w:t>
      </w:r>
    </w:p>
    <w:p>
      <w:pPr>
        <w:pStyle w:val="ListParagraph"/>
        <w:numPr>
          <w:ilvl w:val="0"/>
          <w:numId w:val="2"/>
        </w:numPr>
        <w:spacing w:after="40" w:before="40"/>
      </w:pPr>
      <w:r>
        <w:rPr>
          <w:rFonts w:ascii="Arial" w:cs="Arial" w:eastAsia="Arial" w:hAnsi="Arial"/>
          <w:color w:val="262626"/>
          <w:sz w:val="22"/>
          <w:szCs w:val="22"/>
        </w:rPr>
        <w:t xml:space="preserve">Median_Income: Annual median employee income ($) in FY 2021-22</w:t>
      </w:r>
    </w:p>
    <w:p>
      <w:pPr>
        <w:pStyle w:val="ListParagraph"/>
        <w:numPr>
          <w:ilvl w:val="0"/>
          <w:numId w:val="2"/>
        </w:numPr>
        <w:spacing w:after="40" w:before="40"/>
      </w:pPr>
      <w:r>
        <w:rPr>
          <w:rFonts w:ascii="Arial" w:cs="Arial" w:eastAsia="Arial" w:hAnsi="Arial"/>
          <w:color w:val="262626"/>
          <w:sz w:val="22"/>
          <w:szCs w:val="22"/>
        </w:rPr>
        <w:t xml:space="preserve">Median_Income_Change: Change in median income from pre-enrolment (inflation-adjusted to 2021-22 dollars)</w:t>
      </w:r>
    </w:p>
    <w:p>
      <w:pPr>
        <w:pStyle w:val="ListParagraph"/>
        <w:numPr>
          <w:ilvl w:val="0"/>
          <w:numId w:val="2"/>
        </w:numPr>
        <w:spacing w:after="40" w:before="40"/>
      </w:pPr>
      <w:r>
        <w:rPr>
          <w:rFonts w:ascii="Arial" w:cs="Arial" w:eastAsia="Arial" w:hAnsi="Arial"/>
          <w:color w:val="262626"/>
          <w:sz w:val="22"/>
          <w:szCs w:val="22"/>
        </w:rPr>
        <w:t xml:space="preserve">Median_Income_Total: Combined employee + business income</w:t>
      </w:r>
    </w:p>
    <w:p>
      <w:pPr>
        <w:pStyle w:val="ListParagraph"/>
        <w:numPr>
          <w:ilvl w:val="0"/>
          <w:numId w:val="2"/>
        </w:numPr>
        <w:spacing w:after="40" w:before="40"/>
      </w:pPr>
      <w:r>
        <w:rPr>
          <w:rFonts w:ascii="Arial" w:cs="Arial" w:eastAsia="Arial" w:hAnsi="Arial"/>
          <w:color w:val="262626"/>
          <w:sz w:val="22"/>
          <w:szCs w:val="22"/>
        </w:rPr>
        <w:t xml:space="preserve">Pct_Apprentice_Trainees: % who were apprentices or trainees</w:t>
      </w:r>
    </w:p>
    <w:p>
      <w:pPr>
        <w:pStyle w:val="ListParagraph"/>
        <w:numPr>
          <w:ilvl w:val="0"/>
          <w:numId w:val="2"/>
        </w:numPr>
        <w:spacing w:after="40" w:before="40"/>
      </w:pPr>
      <w:r>
        <w:rPr>
          <w:rFonts w:ascii="Arial" w:cs="Arial" w:eastAsia="Arial" w:hAnsi="Arial"/>
          <w:color w:val="262626"/>
          <w:sz w:val="22"/>
          <w:szCs w:val="22"/>
        </w:rPr>
        <w:t xml:space="preserve">Pct_Disability: % with a disability</w:t>
      </w:r>
    </w:p>
    <w:p>
      <w:pPr>
        <w:pStyle w:val="ListParagraph"/>
        <w:numPr>
          <w:ilvl w:val="0"/>
          <w:numId w:val="2"/>
        </w:numPr>
        <w:spacing w:after="40" w:before="40"/>
      </w:pPr>
      <w:r>
        <w:rPr>
          <w:rFonts w:ascii="Arial" w:cs="Arial" w:eastAsia="Arial" w:hAnsi="Arial"/>
          <w:color w:val="262626"/>
          <w:sz w:val="22"/>
          <w:szCs w:val="22"/>
        </w:rPr>
        <w:t xml:space="preserve">Pct_First_Nations: % identifying as First Nations Australian</w:t>
      </w:r>
    </w:p>
    <w:p>
      <w:pPr>
        <w:pStyle w:val="ListParagraph"/>
        <w:numPr>
          <w:ilvl w:val="0"/>
          <w:numId w:val="2"/>
        </w:numPr>
        <w:spacing w:after="40" w:before="40"/>
      </w:pPr>
      <w:r>
        <w:rPr>
          <w:rFonts w:ascii="Arial" w:cs="Arial" w:eastAsia="Arial" w:hAnsi="Arial"/>
          <w:color w:val="262626"/>
          <w:sz w:val="22"/>
          <w:szCs w:val="22"/>
        </w:rPr>
        <w:t xml:space="preserve">Income support exit rate: % who exited income support payments after completing VET</w:t>
      </w:r>
    </w:p>
    <w:p>
      <w:pPr>
        <w:pStyle w:val="ListParagraph"/>
        <w:numPr>
          <w:ilvl w:val="0"/>
          <w:numId w:val="2"/>
        </w:numPr>
        <w:spacing w:after="40" w:before="40"/>
      </w:pPr>
      <w:r>
        <w:rPr>
          <w:rFonts w:ascii="Arial" w:cs="Arial" w:eastAsia="Arial" w:hAnsi="Arial"/>
          <w:color w:val="262626"/>
          <w:sz w:val="22"/>
          <w:szCs w:val="22"/>
        </w:rPr>
        <w:t xml:space="preserve">Pct_higher_VET_Progression: % who progressed to a higher-level VET qualification</w:t>
      </w:r>
    </w:p>
    <w:p>
      <w:pPr>
        <w:pStyle w:val="Heading3"/>
        <w:spacing w:after="80" w:before="200"/>
      </w:pPr>
      <w:r>
        <w:rPr>
          <w:rFonts w:ascii="Arial" w:cs="Arial" w:eastAsia="Arial" w:hAnsi="Arial"/>
          <w:b/>
          <w:bCs/>
          <w:color w:val="404040"/>
          <w:sz w:val="22"/>
          <w:szCs w:val="22"/>
        </w:rPr>
        <w:t xml:space="preserve">Key findings (national cohort — Sheet 1)</w:t>
      </w:r>
    </w:p>
    <w:p>
      <w:pPr>
        <w:pStyle w:val="ListParagraph"/>
        <w:numPr>
          <w:ilvl w:val="0"/>
          <w:numId w:val="2"/>
        </w:numPr>
        <w:spacing w:after="40" w:before="40"/>
      </w:pPr>
      <w:r>
        <w:rPr>
          <w:rFonts w:ascii="Arial" w:cs="Arial" w:eastAsia="Arial" w:hAnsi="Arial"/>
          <w:color w:val="262626"/>
          <w:sz w:val="22"/>
          <w:szCs w:val="22"/>
        </w:rPr>
        <w:t xml:space="preserve">Total graduates covered: 418,000+ domestic non-school students</w:t>
      </w:r>
    </w:p>
    <w:p>
      <w:pPr>
        <w:pStyle w:val="ListParagraph"/>
        <w:numPr>
          <w:ilvl w:val="0"/>
          <w:numId w:val="2"/>
        </w:numPr>
        <w:spacing w:after="40" w:before="40"/>
      </w:pPr>
      <w:r>
        <w:rPr>
          <w:rFonts w:ascii="Arial" w:cs="Arial" w:eastAsia="Arial" w:hAnsi="Arial"/>
          <w:color w:val="262626"/>
          <w:sz w:val="22"/>
          <w:szCs w:val="22"/>
        </w:rPr>
        <w:t xml:space="preserve">Overall employment rate rose from 72% (pre-enrolment) to 88% post-graduation — a 16 percentage point gain</w:t>
      </w:r>
    </w:p>
    <w:p>
      <w:pPr>
        <w:pStyle w:val="ListParagraph"/>
        <w:numPr>
          <w:ilvl w:val="0"/>
          <w:numId w:val="2"/>
        </w:numPr>
        <w:spacing w:after="40" w:before="40"/>
      </w:pPr>
      <w:r>
        <w:rPr>
          <w:rFonts w:ascii="Arial" w:cs="Arial" w:eastAsia="Arial" w:hAnsi="Arial"/>
          <w:color w:val="262626"/>
          <w:sz w:val="22"/>
          <w:szCs w:val="22"/>
        </w:rPr>
        <w:t xml:space="preserve">Median annual employee income in FY 2021-22: $51,100; median income change: +$14,100</w:t>
      </w:r>
    </w:p>
    <w:p>
      <w:pPr>
        <w:pStyle w:val="ListParagraph"/>
        <w:numPr>
          <w:ilvl w:val="0"/>
          <w:numId w:val="2"/>
        </w:numPr>
        <w:spacing w:after="40" w:before="40"/>
      </w:pPr>
      <w:r>
        <w:rPr>
          <w:rFonts w:ascii="Arial" w:cs="Arial" w:eastAsia="Arial" w:hAnsi="Arial"/>
          <w:color w:val="262626"/>
          <w:sz w:val="22"/>
          <w:szCs w:val="22"/>
        </w:rPr>
        <w:t xml:space="preserve">Median full-time combined income: $65,700; income change for full-time workers: +$12,600</w:t>
      </w:r>
    </w:p>
    <w:p>
      <w:pPr>
        <w:pStyle w:val="ListParagraph"/>
        <w:numPr>
          <w:ilvl w:val="0"/>
          <w:numId w:val="2"/>
        </w:numPr>
        <w:spacing w:after="40" w:before="40"/>
      </w:pPr>
      <w:r>
        <w:rPr>
          <w:rFonts w:ascii="Arial" w:cs="Arial" w:eastAsia="Arial" w:hAnsi="Arial"/>
          <w:color w:val="262626"/>
          <w:sz w:val="22"/>
          <w:szCs w:val="22"/>
        </w:rPr>
        <w:t xml:space="preserve">Income support exit rate: 48% of graduates exited income support</w:t>
      </w:r>
    </w:p>
    <w:p>
      <w:pPr>
        <w:pStyle w:val="ListParagraph"/>
        <w:numPr>
          <w:ilvl w:val="0"/>
          <w:numId w:val="2"/>
        </w:numPr>
        <w:spacing w:after="40" w:before="40"/>
      </w:pPr>
      <w:r>
        <w:rPr>
          <w:rFonts w:ascii="Arial" w:cs="Arial" w:eastAsia="Arial" w:hAnsi="Arial"/>
          <w:color w:val="262626"/>
          <w:sz w:val="22"/>
          <w:szCs w:val="22"/>
        </w:rPr>
        <w:t xml:space="preserve">First Nations graduates: 4% of cohort; 84% post-graduation employment rate vs 88% national average</w:t>
      </w:r>
    </w:p>
    <w:p>
      <w:pPr>
        <w:pStyle w:val="ListParagraph"/>
        <w:numPr>
          <w:ilvl w:val="0"/>
          <w:numId w:val="2"/>
        </w:numPr>
        <w:spacing w:after="40" w:before="40"/>
      </w:pPr>
      <w:r>
        <w:rPr>
          <w:rFonts w:ascii="Arial" w:cs="Arial" w:eastAsia="Arial" w:hAnsi="Arial"/>
          <w:color w:val="262626"/>
          <w:sz w:val="22"/>
          <w:szCs w:val="22"/>
        </w:rPr>
        <w:t xml:space="preserve">CALD graduates: 22% of cohort; 82% post-graduation employment rate</w:t>
      </w:r>
    </w:p>
    <w:p>
      <w:pPr>
        <w:pStyle w:val="ListParagraph"/>
        <w:numPr>
          <w:ilvl w:val="0"/>
          <w:numId w:val="2"/>
        </w:numPr>
        <w:spacing w:after="40" w:before="40"/>
      </w:pPr>
      <w:r>
        <w:rPr>
          <w:rFonts w:ascii="Arial" w:cs="Arial" w:eastAsia="Arial" w:hAnsi="Arial"/>
          <w:color w:val="262626"/>
          <w:sz w:val="22"/>
          <w:szCs w:val="22"/>
        </w:rPr>
        <w:t xml:space="preserve">Apprentice/trainee graduates: 16% of cohort; 96% post-graduation employment rate</w:t>
      </w:r>
    </w:p>
    <w:p>
      <w:pPr>
        <w:pStyle w:val="ListParagraph"/>
        <w:numPr>
          <w:ilvl w:val="0"/>
          <w:numId w:val="2"/>
        </w:numPr>
        <w:spacing w:after="40" w:before="40"/>
      </w:pPr>
      <w:r>
        <w:rPr>
          <w:rFonts w:ascii="Arial" w:cs="Arial" w:eastAsia="Arial" w:hAnsi="Arial"/>
          <w:color w:val="262626"/>
          <w:sz w:val="22"/>
          <w:szCs w:val="22"/>
        </w:rPr>
        <w:t xml:space="preserve">Graduates with disability: 8% of cohort; 73% post-graduation employment rate</w:t>
      </w:r>
    </w:p>
    <w:p>
      <w:pPr>
        <w:spacing w:after="0" w:before="200"/>
      </w:pPr>
    </w:p>
    <w:p>
      <w:pPr>
        <w:pStyle w:val="Heading1"/>
        <w:pBdr>
          <w:bottom w:val="single" w:color="1F4E79" w:sz="6" w:space="4"/>
        </w:pBdr>
        <w:spacing w:after="160" w:before="360"/>
      </w:pPr>
      <w:r>
        <w:rPr>
          <w:rFonts w:ascii="Arial" w:cs="Arial" w:eastAsia="Arial" w:hAnsi="Arial"/>
          <w:b/>
          <w:bCs/>
          <w:color w:val="1F4E79"/>
          <w:sz w:val="32"/>
          <w:szCs w:val="32"/>
        </w:rPr>
        <w:t xml:space="preserve">5. Theme C — Employer Training Behaviour</w:t>
      </w:r>
    </w:p>
    <w:p>
      <w:pPr>
        <w:pStyle w:val="Heading2"/>
        <w:spacing w:after="120" w:before="280"/>
      </w:pPr>
      <w:r>
        <w:rPr>
          <w:rFonts w:ascii="Arial" w:cs="Arial" w:eastAsia="Arial" w:hAnsi="Arial"/>
          <w:b/>
          <w:bCs/>
          <w:color w:val="2E75B6"/>
          <w:sz w:val="26"/>
          <w:szCs w:val="26"/>
        </w:rPr>
        <w:t xml:space="preserve">5.1 Survey of Employers' Use and Views of VET 2025 (XLSX)</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TA28_DG_RawData_SEUV2025_DataTables_IT1_20260330.xlsx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 — biennial employer survey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Sheets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34 (Index, Overview, Tables 1–29, Notes, Copyright)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Survey frequency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Biennial: 2005, 2007, 2009, 2011, 2013, 2015, 2017, 2019, 2021, 2023, 2025</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New in 2025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AI tools and technologies module (Tables 21–28)</w:t>
            </w:r>
          </w:p>
        </w:tc>
      </w:tr>
    </w:tbl>
    <w:p>
      <w:pPr>
        <w:spacing w:after="0" w:before="120"/>
      </w:pPr>
    </w:p>
    <w:p>
      <w:pPr>
        <w:pStyle w:val="Heading3"/>
        <w:spacing w:after="80" w:before="200"/>
      </w:pPr>
      <w:r>
        <w:rPr>
          <w:rFonts w:ascii="Arial" w:cs="Arial" w:eastAsia="Arial" w:hAnsi="Arial"/>
          <w:b/>
          <w:bCs/>
          <w:color w:val="404040"/>
          <w:sz w:val="22"/>
          <w:szCs w:val="22"/>
        </w:rPr>
        <w:t xml:space="preserve">Description</w:t>
      </w:r>
    </w:p>
    <w:p>
      <w:pPr>
        <w:spacing w:after="100" w:before="60"/>
        <w:jc w:val="both"/>
      </w:pPr>
      <w:r>
        <w:rPr>
          <w:rFonts w:ascii="Arial" w:cs="Arial" w:eastAsia="Arial" w:hAnsi="Arial"/>
          <w:color w:val="262626"/>
          <w:sz w:val="22"/>
          <w:szCs w:val="22"/>
        </w:rPr>
        <w:t xml:space="preserve">The Survey of Employers' Use and Views of the VET System (SEUV) is a biennial national telephone survey of Australian employers, conducted by NCVER since 2005. It captures how employers use different types of training, their satisfaction with training providers, their use of apprentices and trainees, and their views on the relevance and quality of nationally recognised qualifications. The 2025 edition spans 29 data tables and introduces, for the first time, a dedicated module on artificial intelligence adoption in the workplace (Tables 21–28).</w:t>
      </w:r>
    </w:p>
    <w:p>
      <w:pPr>
        <w:pStyle w:val="Heading3"/>
        <w:spacing w:after="80" w:before="200"/>
      </w:pPr>
      <w:r>
        <w:rPr>
          <w:rFonts w:ascii="Arial" w:cs="Arial" w:eastAsia="Arial" w:hAnsi="Arial"/>
          <w:b/>
          <w:bCs/>
          <w:color w:val="404040"/>
          <w:sz w:val="22"/>
          <w:szCs w:val="22"/>
        </w:rPr>
        <w:t xml:space="preserve">Module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Module</w:t>
            </w:r>
          </w:p>
        </w:tc>
        <w:tc>
          <w:tcPr>
            <w:tcW w:type="dxa" w:w="52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Tables covered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Timeseries key findings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Table 1</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Use of accredited training</w:t>
            </w:r>
          </w:p>
        </w:tc>
        <w:tc>
          <w:tcPr>
            <w:tcW w:type="dxa" w:w="5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Tables 2–4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Satisfaction with accredited and unaccredited training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Tables 5–9</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Use and satisfaction with training providers</w:t>
            </w:r>
          </w:p>
        </w:tc>
        <w:tc>
          <w:tcPr>
            <w:tcW w:type="dxa" w:w="5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Tables 10–15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Use of unaccredited and informal training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Tables 16–20</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AI tools and technologies (new 2025)</w:t>
            </w:r>
          </w:p>
        </w:tc>
        <w:tc>
          <w:tcPr>
            <w:tcW w:type="dxa" w:w="5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Tables 21–28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Employer characteristic profiles (timeseries)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Table 29</w:t>
            </w:r>
          </w:p>
        </w:tc>
      </w:tr>
    </w:tbl>
    <w:p>
      <w:pPr>
        <w:spacing w:after="0" w:before="120"/>
      </w:pPr>
    </w:p>
    <w:p>
      <w:pPr>
        <w:pStyle w:val="Heading3"/>
        <w:spacing w:after="80" w:before="200"/>
      </w:pPr>
      <w:r>
        <w:rPr>
          <w:rFonts w:ascii="Arial" w:cs="Arial" w:eastAsia="Arial" w:hAnsi="Arial"/>
          <w:b/>
          <w:bCs/>
          <w:color w:val="404040"/>
          <w:sz w:val="22"/>
          <w:szCs w:val="22"/>
        </w:rPr>
        <w:t xml:space="preserve">Training types tracked</w:t>
      </w:r>
    </w:p>
    <w:p>
      <w:pPr>
        <w:pStyle w:val="ListParagraph"/>
        <w:numPr>
          <w:ilvl w:val="0"/>
          <w:numId w:val="2"/>
        </w:numPr>
        <w:spacing w:after="40" w:before="40"/>
      </w:pPr>
      <w:r>
        <w:rPr>
          <w:rFonts w:ascii="Arial" w:cs="Arial" w:eastAsia="Arial" w:hAnsi="Arial"/>
          <w:color w:val="262626"/>
          <w:sz w:val="22"/>
          <w:szCs w:val="22"/>
        </w:rPr>
        <w:t xml:space="preserve">Accredited training: nationally recognised qualifications delivered by RTOs</w:t>
      </w:r>
    </w:p>
    <w:p>
      <w:pPr>
        <w:pStyle w:val="ListParagraph"/>
        <w:numPr>
          <w:ilvl w:val="0"/>
          <w:numId w:val="2"/>
        </w:numPr>
        <w:spacing w:after="40" w:before="40"/>
      </w:pPr>
      <w:r>
        <w:rPr>
          <w:rFonts w:ascii="Arial" w:cs="Arial" w:eastAsia="Arial" w:hAnsi="Arial"/>
          <w:color w:val="262626"/>
          <w:sz w:val="22"/>
          <w:szCs w:val="22"/>
        </w:rPr>
        <w:t xml:space="preserve">Unaccredited training: non-nationally recognised training tailored to specific workplace needs</w:t>
      </w:r>
    </w:p>
    <w:p>
      <w:pPr>
        <w:pStyle w:val="ListParagraph"/>
        <w:numPr>
          <w:ilvl w:val="0"/>
          <w:numId w:val="2"/>
        </w:numPr>
        <w:spacing w:after="40" w:before="40"/>
      </w:pPr>
      <w:r>
        <w:rPr>
          <w:rFonts w:ascii="Arial" w:cs="Arial" w:eastAsia="Arial" w:hAnsi="Arial"/>
          <w:color w:val="262626"/>
          <w:sz w:val="22"/>
          <w:szCs w:val="22"/>
        </w:rPr>
        <w:t xml:space="preserve">Informal / on-the-job training: supervisor-led mentoring and workplace instruction</w:t>
      </w:r>
    </w:p>
    <w:p>
      <w:pPr>
        <w:pStyle w:val="Heading3"/>
        <w:spacing w:after="80" w:before="200"/>
      </w:pPr>
      <w:r>
        <w:rPr>
          <w:rFonts w:ascii="Arial" w:cs="Arial" w:eastAsia="Arial" w:hAnsi="Arial"/>
          <w:b/>
          <w:bCs/>
          <w:color w:val="404040"/>
          <w:sz w:val="22"/>
          <w:szCs w:val="22"/>
        </w:rPr>
        <w:t xml:space="preserve">New 2025 AI module (Tables 21–28)</w:t>
      </w:r>
    </w:p>
    <w:p>
      <w:pPr>
        <w:spacing w:after="100" w:before="60"/>
        <w:jc w:val="both"/>
      </w:pPr>
      <w:r>
        <w:rPr>
          <w:rFonts w:ascii="Arial" w:cs="Arial" w:eastAsia="Arial" w:hAnsi="Arial"/>
          <w:color w:val="262626"/>
          <w:sz w:val="22"/>
          <w:szCs w:val="22"/>
        </w:rPr>
        <w:t xml:space="preserve">The 2025 survey introduces eight new tables capturing employer adoption of AI technologies, including:</w:t>
      </w:r>
    </w:p>
    <w:p>
      <w:pPr>
        <w:pStyle w:val="ListParagraph"/>
        <w:numPr>
          <w:ilvl w:val="0"/>
          <w:numId w:val="2"/>
        </w:numPr>
        <w:spacing w:after="40" w:before="40"/>
      </w:pPr>
      <w:r>
        <w:rPr>
          <w:rFonts w:ascii="Arial" w:cs="Arial" w:eastAsia="Arial" w:hAnsi="Arial"/>
          <w:color w:val="262626"/>
          <w:sz w:val="22"/>
          <w:szCs w:val="22"/>
        </w:rPr>
        <w:t xml:space="preserve">Table 21: Whether the organisation uses or is adopting AI tools/technologies</w:t>
      </w:r>
    </w:p>
    <w:p>
      <w:pPr>
        <w:pStyle w:val="ListParagraph"/>
        <w:numPr>
          <w:ilvl w:val="0"/>
          <w:numId w:val="2"/>
        </w:numPr>
        <w:spacing w:after="40" w:before="40"/>
      </w:pPr>
      <w:r>
        <w:rPr>
          <w:rFonts w:ascii="Arial" w:cs="Arial" w:eastAsia="Arial" w:hAnsi="Arial"/>
          <w:color w:val="262626"/>
          <w:sz w:val="22"/>
          <w:szCs w:val="22"/>
        </w:rPr>
        <w:t xml:space="preserve">Table 22: Specific AI technologies used in the last 12 months</w:t>
      </w:r>
    </w:p>
    <w:p>
      <w:pPr>
        <w:pStyle w:val="ListParagraph"/>
        <w:numPr>
          <w:ilvl w:val="0"/>
          <w:numId w:val="2"/>
        </w:numPr>
        <w:spacing w:after="40" w:before="40"/>
      </w:pPr>
      <w:r>
        <w:rPr>
          <w:rFonts w:ascii="Arial" w:cs="Arial" w:eastAsia="Arial" w:hAnsi="Arial"/>
          <w:color w:val="262626"/>
          <w:sz w:val="22"/>
          <w:szCs w:val="22"/>
        </w:rPr>
        <w:t xml:space="preserve">Table 23–24: Ways AI has helped the organisation</w:t>
      </w:r>
    </w:p>
    <w:p>
      <w:pPr>
        <w:pStyle w:val="ListParagraph"/>
        <w:numPr>
          <w:ilvl w:val="0"/>
          <w:numId w:val="2"/>
        </w:numPr>
        <w:spacing w:after="40" w:before="40"/>
      </w:pPr>
      <w:r>
        <w:rPr>
          <w:rFonts w:ascii="Arial" w:cs="Arial" w:eastAsia="Arial" w:hAnsi="Arial"/>
          <w:color w:val="262626"/>
          <w:sz w:val="22"/>
          <w:szCs w:val="22"/>
        </w:rPr>
        <w:t xml:space="preserve">Table 25–26: AI-related training provided and provider types used</w:t>
      </w:r>
    </w:p>
    <w:p>
      <w:pPr>
        <w:pStyle w:val="ListParagraph"/>
        <w:numPr>
          <w:ilvl w:val="0"/>
          <w:numId w:val="2"/>
        </w:numPr>
        <w:spacing w:after="40" w:before="40"/>
      </w:pPr>
      <w:r>
        <w:rPr>
          <w:rFonts w:ascii="Arial" w:cs="Arial" w:eastAsia="Arial" w:hAnsi="Arial"/>
          <w:color w:val="262626"/>
          <w:sz w:val="22"/>
          <w:szCs w:val="22"/>
        </w:rPr>
        <w:t xml:space="preserve">Table 27: Barriers to using AI at work</w:t>
      </w:r>
    </w:p>
    <w:p>
      <w:pPr>
        <w:pStyle w:val="ListParagraph"/>
        <w:numPr>
          <w:ilvl w:val="0"/>
          <w:numId w:val="2"/>
        </w:numPr>
        <w:spacing w:after="40" w:before="40"/>
      </w:pPr>
      <w:r>
        <w:rPr>
          <w:rFonts w:ascii="Arial" w:cs="Arial" w:eastAsia="Arial" w:hAnsi="Arial"/>
          <w:color w:val="262626"/>
          <w:sz w:val="22"/>
          <w:szCs w:val="22"/>
        </w:rPr>
        <w:t xml:space="preserve">Table 28: Planned changes in the next 12 months related to AI</w:t>
      </w:r>
    </w:p>
    <w:p>
      <w:pPr>
        <w:pStyle w:val="Heading3"/>
        <w:spacing w:after="80" w:before="200"/>
      </w:pPr>
      <w:r>
        <w:rPr>
          <w:rFonts w:ascii="Arial" w:cs="Arial" w:eastAsia="Arial" w:hAnsi="Arial"/>
          <w:b/>
          <w:bCs/>
          <w:color w:val="404040"/>
          <w:sz w:val="22"/>
          <w:szCs w:val="22"/>
        </w:rPr>
        <w:t xml:space="preserve">Timeseries coverage (Table 2 — illustrative)</w:t>
      </w:r>
    </w:p>
    <w:p>
      <w:pPr>
        <w:spacing w:after="100" w:before="60"/>
        <w:jc w:val="both"/>
      </w:pPr>
      <w:r>
        <w:rPr>
          <w:rFonts w:ascii="Arial" w:cs="Arial" w:eastAsia="Arial" w:hAnsi="Arial"/>
          <w:color w:val="262626"/>
          <w:sz w:val="22"/>
          <w:szCs w:val="22"/>
        </w:rPr>
        <w:t xml:space="preserve">The training use tables track employer behaviour from 2005 to 2025 by state/territory, employer size, and industry. Victoria figures illustrate the pattern: in 2025, 52% of Victorian employers used accredited training (vs. 56.5% in 2005), while 49.3% used unaccredited training and 77.5% provided informal on-the-job training. These timeseries are important for identifying long-run structural shifts in employer training investment.</w:t>
      </w:r>
    </w:p>
    <w:p>
      <w:pPr>
        <w:spacing w:after="0" w:before="200"/>
      </w:pPr>
    </w:p>
    <w:p>
      <w:pPr>
        <w:pStyle w:val="Heading1"/>
        <w:pBdr>
          <w:bottom w:val="single" w:color="1F4E79" w:sz="6" w:space="4"/>
        </w:pBdr>
        <w:spacing w:after="160" w:before="360"/>
      </w:pPr>
      <w:r>
        <w:rPr>
          <w:rFonts w:ascii="Arial" w:cs="Arial" w:eastAsia="Arial" w:hAnsi="Arial"/>
          <w:b/>
          <w:bCs/>
          <w:color w:val="1F4E79"/>
          <w:sz w:val="32"/>
          <w:szCs w:val="32"/>
        </w:rPr>
        <w:t xml:space="preserve">6. Theme D — Apprentice and Trainee Activity</w:t>
      </w:r>
    </w:p>
    <w:p>
      <w:pPr>
        <w:pStyle w:val="Heading2"/>
        <w:spacing w:after="120" w:before="280"/>
      </w:pPr>
      <w:r>
        <w:rPr>
          <w:rFonts w:ascii="Arial" w:cs="Arial" w:eastAsia="Arial" w:hAnsi="Arial"/>
          <w:b/>
          <w:bCs/>
          <w:color w:val="2E75B6"/>
          <w:sz w:val="26"/>
          <w:szCs w:val="26"/>
        </w:rPr>
        <w:t xml:space="preserve">6.1 Apprentices and Trainees 2025 — September Quarter Estimates Review (XLSX)</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File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TA28_DG_RawData_ApprenticesTrainees2025_SepQtr_IT1_20260330.xlsx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Publisher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 — National Apprentice and Trainee Collection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Sheets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9 (Introduction, Analysis table, Glossary, Pivot tables, Dashboard, Summary table, Review quarters, Data validation, Copyright)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Review quarters (commencements/completions)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Mar-2024, Jun-2024, Sep-2024, Dec-2024</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0"/>
                <w:szCs w:val="20"/>
              </w:rPr>
              <w:t xml:space="preserve">Review quarters (cancellations/in-training)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Mar-2023, Jun-2023, Sep-2023, Dec-2023</w:t>
            </w:r>
          </w:p>
        </w:tc>
      </w:tr>
    </w:tbl>
    <w:p>
      <w:pPr>
        <w:spacing w:after="0" w:before="120"/>
      </w:pPr>
    </w:p>
    <w:p>
      <w:pPr>
        <w:pStyle w:val="Heading3"/>
        <w:spacing w:after="80" w:before="200"/>
      </w:pPr>
      <w:r>
        <w:rPr>
          <w:rFonts w:ascii="Arial" w:cs="Arial" w:eastAsia="Arial" w:hAnsi="Arial"/>
          <w:b/>
          <w:bCs/>
          <w:color w:val="404040"/>
          <w:sz w:val="22"/>
          <w:szCs w:val="22"/>
        </w:rPr>
        <w:t xml:space="preserve">Purpose and context</w:t>
      </w:r>
    </w:p>
    <w:p>
      <w:pPr>
        <w:spacing w:after="100" w:before="60"/>
        <w:jc w:val="both"/>
      </w:pPr>
      <w:r>
        <w:rPr>
          <w:rFonts w:ascii="Arial" w:cs="Arial" w:eastAsia="Arial" w:hAnsi="Arial"/>
          <w:color w:val="262626"/>
          <w:sz w:val="22"/>
          <w:szCs w:val="22"/>
        </w:rPr>
        <w:t xml:space="preserve">This file is a methodology review dashboard, not a raw data extract. Its purpose is to assess the accuracy and reliability of NCVER's statistical estimation methodology for apprentice and trainee contract counts.</w:t>
      </w:r>
    </w:p>
    <w:p>
      <w:pPr>
        <w:spacing w:after="100" w:before="60"/>
        <w:jc w:val="both"/>
      </w:pPr>
      <w:r>
        <w:rPr>
          <w:rFonts w:ascii="Arial" w:cs="Arial" w:eastAsia="Arial" w:hAnsi="Arial"/>
          <w:color w:val="262626"/>
          <w:sz w:val="22"/>
          <w:szCs w:val="22"/>
        </w:rPr>
        <w:t xml:space="preserve">Apprentice and trainee data are submitted by state and territory training authorities (STAs) to NCVER quarterly. However, reporting lags of up to eight quarters mean that the final, complete count for a given quarter takes years to accumulate fully. NCVER therefore publishes estimates ahead of the final counts to enable timely policy monitoring. This file allows users and stakeholders to assess how accurate those estimates have been.</w:t>
      </w:r>
    </w:p>
    <w:p>
      <w:pPr>
        <w:pStyle w:val="Heading3"/>
        <w:spacing w:after="80" w:before="200"/>
      </w:pPr>
      <w:r>
        <w:rPr>
          <w:rFonts w:ascii="Arial" w:cs="Arial" w:eastAsia="Arial" w:hAnsi="Arial"/>
          <w:b/>
          <w:bCs/>
          <w:color w:val="404040"/>
          <w:sz w:val="22"/>
          <w:szCs w:val="22"/>
        </w:rPr>
        <w:t xml:space="preserve">Why estimates are needed — the reporting lag problem</w:t>
      </w:r>
    </w:p>
    <w:p>
      <w:pPr>
        <w:pStyle w:val="ListParagraph"/>
        <w:numPr>
          <w:ilvl w:val="0"/>
          <w:numId w:val="2"/>
        </w:numPr>
        <w:spacing w:after="40" w:before="40"/>
      </w:pPr>
      <w:r>
        <w:rPr>
          <w:rFonts w:ascii="Arial" w:cs="Arial" w:eastAsia="Arial" w:hAnsi="Arial"/>
          <w:color w:val="262626"/>
          <w:sz w:val="22"/>
          <w:szCs w:val="22"/>
        </w:rPr>
        <w:t xml:space="preserve">Commencements and completions: require up to four quarters for complete reporting; NCVER's estimates are reviewed after three additional collections.</w:t>
      </w:r>
    </w:p>
    <w:p>
      <w:pPr>
        <w:pStyle w:val="ListParagraph"/>
        <w:numPr>
          <w:ilvl w:val="0"/>
          <w:numId w:val="2"/>
        </w:numPr>
        <w:spacing w:after="40" w:before="40"/>
      </w:pPr>
      <w:r>
        <w:rPr>
          <w:rFonts w:ascii="Arial" w:cs="Arial" w:eastAsia="Arial" w:hAnsi="Arial"/>
          <w:color w:val="262626"/>
          <w:sz w:val="22"/>
          <w:szCs w:val="22"/>
        </w:rPr>
        <w:t xml:space="preserve">Cancellations/withdrawals and in-training: require up to eight quarters for complete reporting; estimates are reviewed after seven additional collections.</w:t>
      </w:r>
    </w:p>
    <w:p>
      <w:pPr>
        <w:pStyle w:val="ListParagraph"/>
        <w:numPr>
          <w:ilvl w:val="0"/>
          <w:numId w:val="2"/>
        </w:numPr>
        <w:spacing w:after="40" w:before="40"/>
      </w:pPr>
      <w:r>
        <w:rPr>
          <w:rFonts w:ascii="Arial" w:cs="Arial" w:eastAsia="Arial" w:hAnsi="Arial"/>
          <w:color w:val="262626"/>
          <w:sz w:val="22"/>
          <w:szCs w:val="22"/>
        </w:rPr>
        <w:t xml:space="preserve">Example: September 2016 commencements — the initial collected count was 27,567, the NCVER initial estimate was 37,927, and the final count (after four quarters) settled at 37,471.</w:t>
      </w:r>
    </w:p>
    <w:p>
      <w:pPr>
        <w:pStyle w:val="Heading3"/>
        <w:spacing w:after="80" w:before="200"/>
      </w:pPr>
      <w:r>
        <w:rPr>
          <w:rFonts w:ascii="Arial" w:cs="Arial" w:eastAsia="Arial" w:hAnsi="Arial"/>
          <w:b/>
          <w:bCs/>
          <w:color w:val="404040"/>
          <w:sz w:val="22"/>
          <w:szCs w:val="22"/>
        </w:rPr>
        <w:t xml:space="preserve">Estimate types reviewed</w:t>
      </w:r>
    </w:p>
    <w:p>
      <w:pPr>
        <w:pStyle w:val="ListParagraph"/>
        <w:numPr>
          <w:ilvl w:val="0"/>
          <w:numId w:val="2"/>
        </w:numPr>
        <w:spacing w:after="40" w:before="40"/>
      </w:pPr>
      <w:r>
        <w:rPr>
          <w:rFonts w:ascii="Arial" w:cs="Arial" w:eastAsia="Arial" w:hAnsi="Arial"/>
          <w:color w:val="262626"/>
          <w:sz w:val="22"/>
          <w:szCs w:val="22"/>
        </w:rPr>
        <w:t xml:space="preserve">Initial estimate: NCVER's published estimate at the time of the first available collection after the quarter of interest.</w:t>
      </w:r>
    </w:p>
    <w:p>
      <w:pPr>
        <w:pStyle w:val="ListParagraph"/>
        <w:numPr>
          <w:ilvl w:val="0"/>
          <w:numId w:val="2"/>
        </w:numPr>
        <w:spacing w:after="40" w:before="40"/>
      </w:pPr>
      <w:r>
        <w:rPr>
          <w:rFonts w:ascii="Arial" w:cs="Arial" w:eastAsia="Arial" w:hAnsi="Arial"/>
          <w:color w:val="262626"/>
          <w:sz w:val="22"/>
          <w:szCs w:val="22"/>
        </w:rPr>
        <w:t xml:space="preserve">First revision estimate: NCVER's revised estimate one collection later.</w:t>
      </w:r>
    </w:p>
    <w:p>
      <w:pPr>
        <w:pStyle w:val="ListParagraph"/>
        <w:numPr>
          <w:ilvl w:val="0"/>
          <w:numId w:val="2"/>
        </w:numPr>
        <w:spacing w:after="40" w:before="40"/>
      </w:pPr>
      <w:r>
        <w:rPr>
          <w:rFonts w:ascii="Arial" w:cs="Arial" w:eastAsia="Arial" w:hAnsi="Arial"/>
          <w:color w:val="262626"/>
          <w:sz w:val="22"/>
          <w:szCs w:val="22"/>
        </w:rPr>
        <w:t xml:space="preserve">Both are compared against the final count that eventually emerges from the STAs.</w:t>
      </w:r>
    </w:p>
    <w:p>
      <w:pPr>
        <w:pStyle w:val="Heading3"/>
        <w:spacing w:after="80" w:before="200"/>
      </w:pPr>
      <w:r>
        <w:rPr>
          <w:rFonts w:ascii="Arial" w:cs="Arial" w:eastAsia="Arial" w:hAnsi="Arial"/>
          <w:b/>
          <w:bCs/>
          <w:color w:val="404040"/>
          <w:sz w:val="22"/>
          <w:szCs w:val="22"/>
        </w:rPr>
        <w:t xml:space="preserve">Key fields in the Analysis table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66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State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Australia national or individual state/territory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Contract type</w:t>
            </w:r>
          </w:p>
        </w:tc>
        <w:tc>
          <w:tcPr>
            <w:tcW w:type="dxa" w:w="6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Commencements, completions, cancellations/withdrawals, in-training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Collection quarter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The collection period the data was taken from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Review quarter</w:t>
            </w:r>
          </w:p>
        </w:tc>
        <w:tc>
          <w:tcPr>
            <w:tcW w:type="dxa" w:w="6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The quarter being assessed for estimation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Estimate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NCVER's published estimate (initial or 1st revision)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Low95 / High95</w:t>
            </w:r>
          </w:p>
        </w:tc>
        <w:tc>
          <w:tcPr>
            <w:tcW w:type="dxa" w:w="6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Lower and upper bounds of the 95% prediction interval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final_count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The actual final count as eventually collected by NCVER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perc_of_final_count</w:t>
            </w:r>
          </w:p>
        </w:tc>
        <w:tc>
          <w:tcPr>
            <w:tcW w:type="dxa" w:w="66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Estimate as a % of the final count (accuracy measure; 100% = perfect)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count_in_PI</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Y/N whether the final count fell within the 95% prediction interval</w:t>
            </w:r>
          </w:p>
        </w:tc>
      </w:tr>
    </w:tbl>
    <w:p>
      <w:pPr>
        <w:spacing w:after="0" w:before="120"/>
      </w:pPr>
    </w:p>
    <w:p>
      <w:pPr>
        <w:pStyle w:val="Heading3"/>
        <w:spacing w:after="80" w:before="200"/>
      </w:pPr>
      <w:r>
        <w:rPr>
          <w:rFonts w:ascii="Arial" w:cs="Arial" w:eastAsia="Arial" w:hAnsi="Arial"/>
          <w:b/>
          <w:bCs/>
          <w:color w:val="404040"/>
          <w:sz w:val="22"/>
          <w:szCs w:val="22"/>
        </w:rPr>
        <w:t xml:space="preserve">Illustrative accuracy data (September 2024 quarter, commencements, Australia)</w:t>
      </w:r>
    </w:p>
    <w:p>
      <w:pPr>
        <w:pStyle w:val="ListParagraph"/>
        <w:numPr>
          <w:ilvl w:val="0"/>
          <w:numId w:val="2"/>
        </w:numPr>
        <w:spacing w:after="40" w:before="40"/>
      </w:pPr>
      <w:r>
        <w:rPr>
          <w:rFonts w:ascii="Arial" w:cs="Arial" w:eastAsia="Arial" w:hAnsi="Arial"/>
          <w:color w:val="262626"/>
          <w:sz w:val="22"/>
          <w:szCs w:val="22"/>
        </w:rPr>
        <w:t xml:space="preserve">Initial estimate: 59,685 — final count: 55,845 — accuracy: 106.9% of final count (within 95% PI)</w:t>
      </w:r>
    </w:p>
    <w:p>
      <w:pPr>
        <w:pStyle w:val="ListParagraph"/>
        <w:numPr>
          <w:ilvl w:val="0"/>
          <w:numId w:val="2"/>
        </w:numPr>
        <w:spacing w:after="40" w:before="40"/>
      </w:pPr>
      <w:r>
        <w:rPr>
          <w:rFonts w:ascii="Arial" w:cs="Arial" w:eastAsia="Arial" w:hAnsi="Arial"/>
          <w:color w:val="262626"/>
          <w:sz w:val="22"/>
          <w:szCs w:val="22"/>
        </w:rPr>
        <w:t xml:space="preserve">First revision estimate: 56,715 — accuracy: 101.6% of final count (within 95% PI)</w:t>
      </w:r>
    </w:p>
    <w:p>
      <w:pPr>
        <w:spacing w:after="100" w:before="60"/>
        <w:jc w:val="both"/>
      </w:pPr>
      <w:r>
        <w:rPr>
          <w:rFonts w:ascii="Arial" w:cs="Arial" w:eastAsia="Arial" w:hAnsi="Arial"/>
          <w:color w:val="262626"/>
          <w:sz w:val="22"/>
          <w:szCs w:val="22"/>
        </w:rPr>
        <w:t xml:space="preserve">This demonstrates that the first revision estimate is substantially more accurate than the initial estimate, as expected given additional collection data.</w:t>
      </w:r>
    </w:p>
    <w:p>
      <w:pPr>
        <w:spacing w:after="0" w:before="200"/>
      </w:pPr>
    </w:p>
    <w:p>
      <w:pPr>
        <w:pStyle w:val="Heading1"/>
        <w:pBdr>
          <w:bottom w:val="single" w:color="1F4E79" w:sz="6" w:space="4"/>
        </w:pBdr>
        <w:spacing w:after="160" w:before="360"/>
      </w:pPr>
      <w:r>
        <w:rPr>
          <w:rFonts w:ascii="Arial" w:cs="Arial" w:eastAsia="Arial" w:hAnsi="Arial"/>
          <w:b/>
          <w:bCs/>
          <w:color w:val="1F4E79"/>
          <w:sz w:val="32"/>
          <w:szCs w:val="32"/>
        </w:rPr>
        <w:t xml:space="preserve">7. Data Governance and Usage Notes</w:t>
      </w:r>
    </w:p>
    <w:p>
      <w:pPr>
        <w:pStyle w:val="Heading2"/>
        <w:spacing w:after="120" w:before="280"/>
      </w:pPr>
      <w:r>
        <w:rPr>
          <w:rFonts w:ascii="Arial" w:cs="Arial" w:eastAsia="Arial" w:hAnsi="Arial"/>
          <w:b/>
          <w:bCs/>
          <w:color w:val="2E75B6"/>
          <w:sz w:val="26"/>
          <w:szCs w:val="26"/>
        </w:rPr>
        <w:t xml:space="preserve">7.1 Source attribution</w:t>
      </w:r>
    </w:p>
    <w:p>
      <w:pPr>
        <w:pStyle w:val="ListParagraph"/>
        <w:numPr>
          <w:ilvl w:val="0"/>
          <w:numId w:val="2"/>
        </w:numPr>
        <w:spacing w:after="40" w:before="40"/>
      </w:pPr>
      <w:r>
        <w:rPr>
          <w:rFonts w:ascii="Arial" w:cs="Arial" w:eastAsia="Arial" w:hAnsi="Arial"/>
          <w:color w:val="262626"/>
          <w:sz w:val="22"/>
          <w:szCs w:val="22"/>
        </w:rPr>
        <w:t xml:space="preserve">NCVER files: Attribution required as per NCVER data access and charges policy. Fee may apply for detailed custom extracts: https://www.ncver.edu.au/support/support/all-support/data-access-and-charges</w:t>
      </w:r>
    </w:p>
    <w:p>
      <w:pPr>
        <w:pStyle w:val="ListParagraph"/>
        <w:numPr>
          <w:ilvl w:val="0"/>
          <w:numId w:val="2"/>
        </w:numPr>
        <w:spacing w:after="40" w:before="40"/>
      </w:pPr>
      <w:r>
        <w:rPr>
          <w:rFonts w:ascii="Arial" w:cs="Arial" w:eastAsia="Arial" w:hAnsi="Arial"/>
          <w:color w:val="262626"/>
          <w:sz w:val="22"/>
          <w:szCs w:val="22"/>
        </w:rPr>
        <w:t xml:space="preserve">JSA files: Published under Jobs and Skills Australia open data policy. Refer to jobsandskills.gov.au for current terms.</w:t>
      </w:r>
    </w:p>
    <w:p>
      <w:pPr>
        <w:pStyle w:val="ListParagraph"/>
        <w:numPr>
          <w:ilvl w:val="0"/>
          <w:numId w:val="2"/>
        </w:numPr>
        <w:spacing w:after="40" w:before="40"/>
      </w:pPr>
      <w:r>
        <w:rPr>
          <w:rFonts w:ascii="Arial" w:cs="Arial" w:eastAsia="Arial" w:hAnsi="Arial"/>
          <w:color w:val="262626"/>
          <w:sz w:val="22"/>
          <w:szCs w:val="22"/>
        </w:rPr>
        <w:t xml:space="preserve">VNDA (ABS-linked): Findings based on use of PLIDA data. Attribution: Person Level Integrated Data Asset (PLIDA), 2002–2023, VET National Data Asset, ABS DataLab.</w:t>
      </w:r>
    </w:p>
    <w:p>
      <w:pPr>
        <w:pStyle w:val="Heading2"/>
        <w:spacing w:after="120" w:before="280"/>
      </w:pPr>
      <w:r>
        <w:rPr>
          <w:rFonts w:ascii="Arial" w:cs="Arial" w:eastAsia="Arial" w:hAnsi="Arial"/>
          <w:b/>
          <w:bCs/>
          <w:color w:val="2E75B6"/>
          <w:sz w:val="26"/>
          <w:szCs w:val="26"/>
        </w:rPr>
        <w:t xml:space="preserve">7.2 Key caveats by dataset</w:t>
      </w:r>
    </w:p>
    <w:p>
      <w:pPr>
        <w:pStyle w:val="ListParagraph"/>
        <w:numPr>
          <w:ilvl w:val="0"/>
          <w:numId w:val="2"/>
        </w:numPr>
        <w:spacing w:after="40" w:before="40"/>
      </w:pPr>
      <w:r>
        <w:rPr>
          <w:rFonts w:ascii="Arial" w:cs="Arial" w:eastAsia="Arial" w:hAnsi="Arial"/>
          <w:color w:val="262626"/>
          <w:sz w:val="22"/>
          <w:szCs w:val="22"/>
        </w:rPr>
        <w:t xml:space="preserve">OSL (3.1 and 3.2): Ratings reflect expert panel assessment informed by quantitative indicators, not a purely algorithmic classification. Metro and regional shortage distinctions reflect geographic variation within a state.</w:t>
      </w:r>
    </w:p>
    <w:p>
      <w:pPr>
        <w:pStyle w:val="ListParagraph"/>
        <w:numPr>
          <w:ilvl w:val="0"/>
          <w:numId w:val="2"/>
        </w:numPr>
        <w:spacing w:after="40" w:before="40"/>
      </w:pPr>
      <w:r>
        <w:rPr>
          <w:rFonts w:ascii="Arial" w:cs="Arial" w:eastAsia="Arial" w:hAnsi="Arial"/>
          <w:color w:val="262626"/>
          <w:sz w:val="22"/>
          <w:szCs w:val="22"/>
        </w:rPr>
        <w:t xml:space="preserve">OSD (3.3): Historical 2023 and 2024 OSD results were recreated using updated methodology. Previously published results are not directly comparable. Suitability gap unit groups are excluded from the employment growth vs. IVI-UE analysis.</w:t>
      </w:r>
    </w:p>
    <w:p>
      <w:pPr>
        <w:pStyle w:val="ListParagraph"/>
        <w:numPr>
          <w:ilvl w:val="0"/>
          <w:numId w:val="2"/>
        </w:numPr>
        <w:spacing w:after="40" w:before="40"/>
      </w:pPr>
      <w:r>
        <w:rPr>
          <w:rFonts w:ascii="Arial" w:cs="Arial" w:eastAsia="Arial" w:hAnsi="Arial"/>
          <w:color w:val="262626"/>
          <w:sz w:val="22"/>
          <w:szCs w:val="22"/>
        </w:rPr>
        <w:t xml:space="preserve">VET Student Outcomes (4.1): Survey data subject to sampling error — use margins of error sheet for confidence intervals. Only qualifications with 100+ respondents are included.</w:t>
      </w:r>
    </w:p>
    <w:p>
      <w:pPr>
        <w:pStyle w:val="ListParagraph"/>
        <w:numPr>
          <w:ilvl w:val="0"/>
          <w:numId w:val="2"/>
        </w:numPr>
        <w:spacing w:after="40" w:before="40"/>
      </w:pPr>
      <w:r>
        <w:rPr>
          <w:rFonts w:ascii="Arial" w:cs="Arial" w:eastAsia="Arial" w:hAnsi="Arial"/>
          <w:color w:val="262626"/>
          <w:sz w:val="22"/>
          <w:szCs w:val="22"/>
        </w:rPr>
        <w:t xml:space="preserve">VNDA (4.2): All percentages rounded to nearest whole number; income figures rounded to nearest $100. Covers domestic non-school students only. Income reference year is FY 2021-22 regardless of graduation year.</w:t>
      </w:r>
    </w:p>
    <w:p>
      <w:pPr>
        <w:pStyle w:val="ListParagraph"/>
        <w:numPr>
          <w:ilvl w:val="0"/>
          <w:numId w:val="2"/>
        </w:numPr>
        <w:spacing w:after="40" w:before="40"/>
      </w:pPr>
      <w:r>
        <w:rPr>
          <w:rFonts w:ascii="Arial" w:cs="Arial" w:eastAsia="Arial" w:hAnsi="Arial"/>
          <w:color w:val="262626"/>
          <w:sz w:val="22"/>
          <w:szCs w:val="22"/>
        </w:rPr>
        <w:t xml:space="preserve">SEUV (5.1): Survey of employers, not employees or students. Results represent employer perceptions and may not reflect system-wide realities. Small sub-groups should be interpreted cautiously given sample sizes.</w:t>
      </w:r>
    </w:p>
    <w:p>
      <w:pPr>
        <w:pStyle w:val="ListParagraph"/>
        <w:numPr>
          <w:ilvl w:val="0"/>
          <w:numId w:val="2"/>
        </w:numPr>
        <w:spacing w:after="40" w:before="40"/>
      </w:pPr>
      <w:r>
        <w:rPr>
          <w:rFonts w:ascii="Arial" w:cs="Arial" w:eastAsia="Arial" w:hAnsi="Arial"/>
          <w:color w:val="262626"/>
          <w:sz w:val="22"/>
          <w:szCs w:val="22"/>
        </w:rPr>
        <w:t xml:space="preserve">Apprentices and Trainees (6.1): This is an estimation accuracy review, not a primary data file. For final counts of apprentice and trainee activity, use NCVER's main Australian Vocational Education and Training Statistics: Apprentices and Trainees publication.</w:t>
      </w:r>
    </w:p>
    <w:p>
      <w:pPr>
        <w:pStyle w:val="Heading2"/>
        <w:spacing w:after="120" w:before="280"/>
      </w:pPr>
      <w:r>
        <w:rPr>
          <w:rFonts w:ascii="Arial" w:cs="Arial" w:eastAsia="Arial" w:hAnsi="Arial"/>
          <w:b/>
          <w:bCs/>
          <w:color w:val="2E75B6"/>
          <w:sz w:val="26"/>
          <w:szCs w:val="26"/>
        </w:rPr>
        <w:t xml:space="preserve">7.3 Classification systems used</w:t>
      </w:r>
    </w:p>
    <w:p>
      <w:pPr>
        <w:pStyle w:val="ListParagraph"/>
        <w:numPr>
          <w:ilvl w:val="0"/>
          <w:numId w:val="2"/>
        </w:numPr>
        <w:spacing w:after="40" w:before="40"/>
      </w:pPr>
      <w:r>
        <w:rPr>
          <w:rFonts w:ascii="Arial" w:cs="Arial" w:eastAsia="Arial" w:hAnsi="Arial"/>
          <w:color w:val="262626"/>
          <w:sz w:val="22"/>
          <w:szCs w:val="22"/>
        </w:rPr>
        <w:t xml:space="preserve">ANZSCO 2022: Australian and New Zealand Standard Classification of Occupations, 2022 edition. Used in OSL and OSD files.</w:t>
      </w:r>
    </w:p>
    <w:p>
      <w:pPr>
        <w:pStyle w:val="ListParagraph"/>
        <w:numPr>
          <w:ilvl w:val="0"/>
          <w:numId w:val="2"/>
        </w:numPr>
        <w:spacing w:after="40" w:before="40"/>
      </w:pPr>
      <w:r>
        <w:rPr>
          <w:rFonts w:ascii="Arial" w:cs="Arial" w:eastAsia="Arial" w:hAnsi="Arial"/>
          <w:color w:val="262626"/>
          <w:sz w:val="22"/>
          <w:szCs w:val="22"/>
        </w:rPr>
        <w:t xml:space="preserve">OSCA 2024 v1.0: Occupation Standard Classification for Australia, version 1.0 (2024). A new occupation classification being introduced to replace ANZSCO in Australian policy contexts. Available in the full OSL file.</w:t>
      </w:r>
    </w:p>
    <w:p>
      <w:pPr>
        <w:pStyle w:val="ListParagraph"/>
        <w:numPr>
          <w:ilvl w:val="0"/>
          <w:numId w:val="2"/>
        </w:numPr>
        <w:spacing w:after="40" w:before="40"/>
      </w:pPr>
      <w:r>
        <w:rPr>
          <w:rFonts w:ascii="Arial" w:cs="Arial" w:eastAsia="Arial" w:hAnsi="Arial"/>
          <w:color w:val="262626"/>
          <w:sz w:val="22"/>
          <w:szCs w:val="22"/>
        </w:rPr>
        <w:t xml:space="preserve">AQF: Australian Qualifications Framework — defines qualification levels from Certificate I through Doctoral Degree. Used in VNDA and VET Student Outcomes files.</w:t>
      </w:r>
    </w:p>
    <w:p>
      <w:pPr>
        <w:pStyle w:val="ListParagraph"/>
        <w:numPr>
          <w:ilvl w:val="0"/>
          <w:numId w:val="2"/>
        </w:numPr>
        <w:spacing w:after="40" w:before="40"/>
      </w:pPr>
      <w:r>
        <w:rPr>
          <w:rFonts w:ascii="Arial" w:cs="Arial" w:eastAsia="Arial" w:hAnsi="Arial"/>
          <w:color w:val="262626"/>
          <w:sz w:val="22"/>
          <w:szCs w:val="22"/>
        </w:rPr>
        <w:t xml:space="preserve">ANZSIC: Australian and New Zealand Standard Industry Classification — used for industry breakdowns in VET Student Outcomes.</w:t>
      </w:r>
    </w:p>
    <w:p>
      <w:pPr>
        <w:pStyle w:val="ListParagraph"/>
        <w:numPr>
          <w:ilvl w:val="0"/>
          <w:numId w:val="2"/>
        </w:numPr>
        <w:spacing w:after="40" w:before="40"/>
      </w:pPr>
      <w:r>
        <w:rPr>
          <w:rFonts w:ascii="Arial" w:cs="Arial" w:eastAsia="Arial" w:hAnsi="Arial"/>
          <w:color w:val="262626"/>
          <w:sz w:val="22"/>
          <w:szCs w:val="22"/>
        </w:rPr>
        <w:t xml:space="preserve">ANZSCO Major Occupation Groups (1-digit): Used in OSL for grouping. Groups 1–9 correspond to Managers, Professionals, Technicians and Trades Workers, Community and Personal Service Workers, Clerical and Administrative Workers, Sales Workers, Machinery Operators and Drivers, Labourers.</w:t>
      </w:r>
    </w:p>
    <w:p>
      <w:pPr>
        <w:spacing w:after="0" w:before="200"/>
      </w:pPr>
    </w:p>
    <w:p>
      <w:pPr>
        <w:pStyle w:val="Heading1"/>
        <w:pBdr>
          <w:bottom w:val="single" w:color="1F4E79" w:sz="6" w:space="4"/>
        </w:pBdr>
        <w:spacing w:after="160" w:before="360"/>
      </w:pPr>
      <w:r>
        <w:rPr>
          <w:rFonts w:ascii="Arial" w:cs="Arial" w:eastAsia="Arial" w:hAnsi="Arial"/>
          <w:b/>
          <w:bCs/>
          <w:color w:val="1F4E79"/>
          <w:sz w:val="32"/>
          <w:szCs w:val="32"/>
        </w:rPr>
        <w:t xml:space="preserve">8. Contact and Further Information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Dataset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Contact</w:t>
            </w:r>
          </w:p>
        </w:tc>
        <w:tc>
          <w:tcPr>
            <w:tcW w:type="dxa" w:w="3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OSL / OSD (JSA)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OccupationShortageList@jobsandskills.gov.au</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jobsandskills.gov.au/data/occupation-shortages-analysis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VNDA (JSA)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vnda@jobsandskills.gov.au</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jobsandskills.gov.au/vnda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VET Student Outcomes (NCVER)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vet_req@ncver.edu.au / (08) 8230 8400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ncver.edu.au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Apprentices &amp; Trainees (NCVER)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NCVER general enquiries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262626"/>
                <w:sz w:val="20"/>
                <w:szCs w:val="20"/>
              </w:rPr>
              <w:t xml:space="preserve">ncver.edu.au/about/about-ncver/about-our-data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SEUV (NCVER)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 general enquiries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62626"/>
                <w:sz w:val="20"/>
                <w:szCs w:val="20"/>
              </w:rPr>
              <w:t xml:space="preserve">ncver.edu.au</w:t>
            </w:r>
          </w:p>
        </w:tc>
      </w:tr>
    </w:tbl>
    <w:p>
      <w:pPr>
        <w:spacing w:after="0" w:before="160"/>
      </w:pPr>
    </w:p>
    <w:p>
      <w:pPr>
        <w:spacing w:after="0" w:before="200"/>
        <w:jc w:val="center"/>
      </w:pPr>
      <w:r>
        <w:rPr>
          <w:rFonts w:ascii="Arial" w:cs="Arial" w:eastAsia="Arial" w:hAnsi="Arial"/>
          <w:i/>
          <w:iCs/>
          <w:color w:val="888888"/>
          <w:sz w:val="20"/>
          <w:szCs w:val="20"/>
        </w:rPr>
        <w:t xml:space="preserve">End of document</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TA28 Data Group — Dataset Reference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2026-04-15T06:25:18.939Z</dcterms:created>
  <dcterms:modified xsi:type="dcterms:W3CDTF">2026-04-15T06:25:18.940Z</dcterms:modified>
</cp:coreProperties>
</file>

<file path=docProps/custom.xml><?xml version="1.0" encoding="utf-8"?>
<Properties xmlns="http://schemas.openxmlformats.org/officeDocument/2006/custom-properties" xmlns:vt="http://schemas.openxmlformats.org/officeDocument/2006/docPropsVTypes"/>
</file>