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jc w:val="center"/>
      </w:pPr>
      <w:r>
        <w:t/>
      </w:r>
      <w:r>
        <w:rPr>
          <w:rFonts w:ascii="Times New Roman" w:hAnsi="Times New Roman" w:eastAsia="Times New Roman" w:cs="Times New Roman"/>
          <w:b w:val="true"/>
          <w:sz w:val="26"/>
        </w:rPr>
        <w:t xml:space="preserve">Callaway &amp; Sant'Anna (2021) Estimates of Green Bond Financing on Renewable Capacity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Outcome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ATT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SE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% Effect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Pre-Trend p-value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Breakdown M-bar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Treated States</w:t>
            </w:r>
          </w:p>
        </w:tc>
      </w:tr>
      <w:tr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Solar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-0.119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(0.178)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-11.2%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0.506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0.066 (chi2(5) = 10.37)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None (CI includes 0 at M = 0)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12</w:t>
            </w:r>
          </w:p>
        </w:tc>
      </w:tr>
      <w:tr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Wind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0.226***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(0.072)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25.4%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0.002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0.108 (chi2(5) = 9.04)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0.25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14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8"/>
        </w:rPr>
        <w:t xml:space="preserve">Notes: Outcome is ln(installed W per person + 1). Controls: ln real GDP per capita and RPS status (doubly robust estimator); not-yet-treated states as controls. </w:t>
      </w:r>
      <w:r>
        <w:rPr>
          <w:rFonts w:ascii="Times New Roman" w:hAnsi="Times New Roman" w:eastAsia="Times New Roman" w:cs="Times New Roman"/>
          <w:sz w:val="18"/>
        </w:rPr>
        <w:t xml:space="preserve">ATT is the simple aggregation across cohorts and post-treatment years; % effect = 100 x (exp(ATT) - 1). Standard errors clustered by state. </w:t>
      </w:r>
      <w:r>
        <w:rPr>
          <w:rFonts w:ascii="Times New Roman" w:hAnsi="Times New Roman" w:eastAsia="Times New Roman" w:cs="Times New Roman"/>
          <w:sz w:val="18"/>
        </w:rPr>
        <w:t xml:space="preserve">Pre-trend p-value: joint Wald test that event-time leads t = -6 to -2 equal zero (base t = -1). </w:t>
      </w:r>
      <w:r>
        <w:rPr>
          <w:rFonts w:ascii="Times New Roman" w:hAnsi="Times New Roman" w:eastAsia="Times New Roman" w:cs="Times New Roman"/>
          <w:sz w:val="18"/>
        </w:rPr>
        <w:t xml:space="preserve">Breakdown M-bar: largest relative-magnitude violation of parallel trends (Rambachan &amp; Roth, 2023) at which the 95% robust CI for the average post-treatment effect excludes zero. </w:t>
      </w:r>
      <w:r>
        <w:rPr>
          <w:rFonts w:ascii="Times New Roman" w:hAnsi="Times New Roman" w:eastAsia="Times New Roman" w:cs="Times New Roman"/>
          <w:sz w:val="18"/>
        </w:rPr>
        <w:t xml:space="preserve">* p&lt;0.10, ** p&lt;0.05, *** p&lt;0.01.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