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FF19" w14:textId="77777777" w:rsidR="00FD7538" w:rsidRDefault="00317AFC">
      <w:pPr>
        <w:spacing w:after="2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Green Bond Impact on Renewable Capacity</w:t>
      </w:r>
    </w:p>
    <w:p w14:paraId="2023FF1A" w14:textId="77777777" w:rsidR="00FD7538" w:rsidRDefault="00317AFC">
      <w:pPr>
        <w:spacing w:after="360"/>
      </w:pPr>
      <w:r>
        <w:rPr>
          <w:rFonts w:ascii="Times New Roman" w:eastAsia="Times New Roman" w:hAnsi="Times New Roman" w:cs="Times New Roman"/>
        </w:rPr>
        <w:t>The table below reports the average post-treatment Average Treatment Effect on the Treated (ATT) across baseline and policy-robust models for solar and wind capacity outcomes using the Callaway and Sant'Anna (2021) difference-in-differences framework.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FD7538" w14:paraId="2023FF22" w14:textId="77777777">
        <w:trPr>
          <w:jc w:val="center"/>
        </w:trPr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1B" w14:textId="77777777" w:rsidR="00FD7538" w:rsidRDefault="00317AFC">
            <w:r>
              <w:rPr>
                <w:rFonts w:ascii="Times New Roman" w:eastAsia="Times New Roman" w:hAnsi="Times New Roman" w:cs="Times New Roman"/>
                <w:b/>
                <w:sz w:val="20"/>
              </w:rPr>
              <w:t>Variable / Specification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1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(1) Any GB Baseline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1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 Any GB RPS Control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1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 Corporate Baseline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1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(4) Corporate RPS Control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2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 Public Baseline</w:t>
            </w:r>
          </w:p>
        </w:tc>
        <w:tc>
          <w:tcPr>
            <w:tcW w:w="133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023FF2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(6) Public RPS Control</w:t>
            </w:r>
          </w:p>
        </w:tc>
      </w:tr>
      <w:tr w:rsidR="00FD7538" w14:paraId="2023FF2A" w14:textId="77777777">
        <w:trPr>
          <w:jc w:val="center"/>
        </w:trPr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3" w14:textId="77777777" w:rsidR="00FD7538" w:rsidRDefault="00317AFC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Panel A: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>Solar Capacity)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4" w14:textId="77777777" w:rsidR="00FD7538" w:rsidRDefault="00FD7538"/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5" w14:textId="77777777" w:rsidR="00FD7538" w:rsidRDefault="00FD7538"/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6" w14:textId="77777777" w:rsidR="00FD7538" w:rsidRDefault="00FD7538"/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7" w14:textId="77777777" w:rsidR="00FD7538" w:rsidRDefault="00FD7538"/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8" w14:textId="77777777" w:rsidR="00FD7538" w:rsidRDefault="00FD7538"/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29" w14:textId="77777777" w:rsidR="00FD7538" w:rsidRDefault="00FD7538"/>
        </w:tc>
      </w:tr>
      <w:tr w:rsidR="00FD7538" w14:paraId="2023FF32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2B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>Average Post-Treatment ATT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2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2.2934***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2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1.1073***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2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0.5233*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2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0.5558**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0.9015**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1.4376***</w:t>
            </w:r>
          </w:p>
        </w:tc>
      </w:tr>
      <w:tr w:rsidR="00FD7538" w14:paraId="2023FF3A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3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4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(0.8004)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5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(0.3421)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6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(0.2861)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7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(0.2774)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8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(0.4376)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39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(0.3886)</w:t>
            </w:r>
          </w:p>
        </w:tc>
      </w:tr>
      <w:tr w:rsidR="00FD7538" w14:paraId="2023FF42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3B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>Pre-Trend Wald p-value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3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3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3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0.1557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3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0.0262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4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0.0087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CCCCCC"/>
              <w:right w:val="nil"/>
            </w:tcBorders>
          </w:tcPr>
          <w:p w14:paraId="2023FF4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0.0550</w:t>
            </w:r>
          </w:p>
        </w:tc>
      </w:tr>
      <w:tr w:rsidR="00FD7538" w14:paraId="2023FF4A" w14:textId="77777777">
        <w:trPr>
          <w:jc w:val="center"/>
        </w:trPr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3" w14:textId="77777777" w:rsidR="00FD7538" w:rsidRDefault="00317AFC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Panel B: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>Wind Capacity)</w:t>
            </w:r>
          </w:p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4" w14:textId="77777777" w:rsidR="00FD7538" w:rsidRDefault="00FD7538"/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5" w14:textId="77777777" w:rsidR="00FD7538" w:rsidRDefault="00FD7538"/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6" w14:textId="77777777" w:rsidR="00FD7538" w:rsidRDefault="00FD7538"/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7" w14:textId="77777777" w:rsidR="00FD7538" w:rsidRDefault="00FD7538"/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8" w14:textId="77777777" w:rsidR="00FD7538" w:rsidRDefault="00FD7538"/>
        </w:tc>
        <w:tc>
          <w:tcPr>
            <w:tcW w:w="1337" w:type="dxa"/>
            <w:tcBorders>
              <w:top w:val="single" w:sz="4" w:space="0" w:color="CCCCCC"/>
              <w:left w:val="nil"/>
              <w:bottom w:val="nil"/>
              <w:right w:val="nil"/>
            </w:tcBorders>
          </w:tcPr>
          <w:p w14:paraId="2023FF49" w14:textId="77777777" w:rsidR="00FD7538" w:rsidRDefault="00FD7538"/>
        </w:tc>
      </w:tr>
      <w:tr w:rsidR="00FD7538" w14:paraId="2023FF52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4B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>Average Post-Treatment ATT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4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0.5079***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4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0.2524*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4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0.1958**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4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0.2099***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-0.1607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-0.1502</w:t>
            </w:r>
          </w:p>
        </w:tc>
      </w:tr>
      <w:tr w:rsidR="00FD7538" w14:paraId="2023FF5A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3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4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(0.1756)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5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(0.1523)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6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(0.0770)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7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(0.0748)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8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(0.1485)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2023FF59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(0.1893)</w:t>
            </w:r>
          </w:p>
        </w:tc>
      </w:tr>
      <w:tr w:rsidR="00FD7538" w14:paraId="2023FF62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5B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>Pre-Trend Wald p-value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5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0.0000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5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0.0000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5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0.1544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5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0.2503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6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0.0357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23FF6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0.1100</w:t>
            </w:r>
          </w:p>
        </w:tc>
      </w:tr>
      <w:tr w:rsidR="00FD7538" w14:paraId="2023FF6A" w14:textId="77777777">
        <w:trPr>
          <w:jc w:val="center"/>
        </w:trPr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3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 xml:space="preserve">Controls: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GDP per capita)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4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5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6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7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8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023FF69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</w:tr>
      <w:tr w:rsidR="00FD7538" w14:paraId="2023FF72" w14:textId="77777777">
        <w:trPr>
          <w:jc w:val="center"/>
        </w:trPr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6B" w14:textId="77777777" w:rsidR="00FD7538" w:rsidRDefault="00317AFC">
            <w:r>
              <w:rPr>
                <w:rFonts w:ascii="Times New Roman" w:eastAsia="Times New Roman" w:hAnsi="Times New Roman" w:cs="Times New Roman"/>
                <w:sz w:val="20"/>
              </w:rPr>
              <w:t>Controls: RPS Mandate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6C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6D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6E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6F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70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23FF71" w14:textId="77777777" w:rsidR="00FD7538" w:rsidRDefault="00317AF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Yes</w:t>
            </w:r>
          </w:p>
        </w:tc>
      </w:tr>
    </w:tbl>
    <w:p w14:paraId="2023FF73" w14:textId="77777777" w:rsidR="00FD7538" w:rsidRDefault="00FD7538"/>
    <w:p w14:paraId="2023FF74" w14:textId="77777777" w:rsidR="00FD7538" w:rsidRDefault="00317AFC">
      <w:pPr>
        <w:spacing w:before="160"/>
      </w:pPr>
      <w:r>
        <w:rPr>
          <w:rFonts w:ascii="Times New Roman" w:eastAsia="Times New Roman" w:hAnsi="Times New Roman" w:cs="Times New Roman"/>
          <w:b/>
          <w:i/>
          <w:sz w:val="18"/>
        </w:rPr>
        <w:t xml:space="preserve">Notes: </w:t>
      </w:r>
      <w:r>
        <w:rPr>
          <w:rFonts w:ascii="Times New Roman" w:eastAsia="Times New Roman" w:hAnsi="Times New Roman" w:cs="Times New Roman"/>
          <w:i/>
          <w:sz w:val="18"/>
        </w:rPr>
        <w:t xml:space="preserve">Standard errors are reported in parentheses </w:t>
      </w:r>
      <w:proofErr w:type="gramStart"/>
      <w:r>
        <w:rPr>
          <w:rFonts w:ascii="Times New Roman" w:eastAsia="Times New Roman" w:hAnsi="Times New Roman" w:cs="Times New Roman"/>
          <w:i/>
          <w:sz w:val="18"/>
        </w:rPr>
        <w:t>underneath</w:t>
      </w:r>
      <w:proofErr w:type="gramEnd"/>
      <w:r>
        <w:rPr>
          <w:rFonts w:ascii="Times New Roman" w:eastAsia="Times New Roman" w:hAnsi="Times New Roman" w:cs="Times New Roman"/>
          <w:i/>
          <w:sz w:val="18"/>
        </w:rPr>
        <w:t xml:space="preserve"> the average post-treatment effects. Coefficients represent the aggregate dynamic ATT. Multi-collinearity due to dense treatment cohort distributions prevents the estimation of pre-trend metrics for aggregate specifications in columns (1) and (2) of Panel A. </w:t>
      </w:r>
    </w:p>
    <w:p w14:paraId="2023FF75" w14:textId="77777777" w:rsidR="00FD7538" w:rsidRDefault="00317AFC">
      <w:pPr>
        <w:spacing w:before="40"/>
      </w:pPr>
      <w:r>
        <w:rPr>
          <w:rFonts w:ascii="Times New Roman" w:eastAsia="Times New Roman" w:hAnsi="Times New Roman" w:cs="Times New Roman"/>
          <w:i/>
          <w:sz w:val="18"/>
        </w:rPr>
        <w:t>* p &lt; 0.10, ** p &lt; 0.05, *** p &lt; 0.01.</w:t>
      </w:r>
    </w:p>
    <w:sectPr w:rsidR="00FD7538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D7538"/>
    <w:rsid w:val="00317AFC"/>
    <w:rsid w:val="00525242"/>
    <w:rsid w:val="00C2039D"/>
    <w:rsid w:val="00FD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FF19"/>
  <w15:docId w15:val="{3B7A5C6F-708F-4558-B55B-26160B3D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njlei</dc:creator>
  <cp:lastModifiedBy>njleibo@optonline.net</cp:lastModifiedBy>
  <cp:revision>2</cp:revision>
  <cp:lastPrinted>2026-07-03T21:16:00Z</cp:lastPrinted>
  <dcterms:created xsi:type="dcterms:W3CDTF">2026-07-03T21:15:00Z</dcterms:created>
  <dcterms:modified xsi:type="dcterms:W3CDTF">2026-07-03T21:16:00Z</dcterms:modified>
</cp:coreProperties>
</file>