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360"/>
        <w:jc w:val="center"/>
      </w:pPr>
      <w:r>
        <w:t/>
      </w:r>
      <w:r>
        <w:rPr>
          <w:rFonts w:ascii="Times New Roman" w:hAnsi="Times New Roman" w:eastAsia="Times New Roman" w:cs="Times New Roman"/>
          <w:b w:val="true"/>
          <w:sz w:val="32"/>
        </w:rPr>
        <w:t xml:space="preserve">HonestDiD Sensitivity &amp; Robust Bounds Analysis</w:t>
      </w:r>
    </w:p>
    <w:p>
      <w:pPr>
        <w:spacing w:after="240"/>
        <w:jc w:val="left"/>
      </w:pPr>
      <w:r>
        <w:t/>
      </w:r>
      <w:r>
        <w:rPr>
          <w:rFonts w:ascii="Times New Roman" w:hAnsi="Times New Roman" w:eastAsia="Times New Roman" w:cs="Times New Roman"/>
          <w:sz w:val="22"/>
        </w:rPr>
        <w:t xml:space="preserve">This companion diagnostic document presents individual, step-by-step parallel trend violation sensitivity breakdowns for all six executions. The bounds are calculated under the relative magnitudes framework (Rambachan and Roth, 2023) across multiple threshold levels of trend divergence (M).</w:t>
      </w:r>
    </w:p>
    <w:p>
      <w:pPr>
        <w:spacing w:before="480" w:after="120" w:lineRule="auto"/>
      </w:pPr>
      <w:r>
        <w:t/>
      </w:r>
      <w:r>
        <w:rPr>
          <w:rFonts w:ascii="Times New Roman" w:hAnsi="Times New Roman" w:eastAsia="Times New Roman" w:cs="Times New Roman"/>
          <w:b w:val="true"/>
          <w:sz w:val="24"/>
        </w:rPr>
        <w:t xml:space="preserve">Execution 1: Any Green Bonds on Solar Capacity</w:t>
      </w:r>
    </w:p>
    <w:tbl>
      <w:tblPr>
        <w:tblStyle w:val="TableGrid"/>
        <w:jc w:val="center"/>
      </w:tblPr>
      <w:tblGrid>
        <w:gridCol w:w="3120"/>
        <w:gridCol w:w="3120"/>
        <w:gridCol w:w="3120"/>
      </w:tblGrid>
      <w:tr>
        <w:tc>
          <w:tcPr>
            <w:tcW w:w="4608" w:type="dxa"/>
            <w:tcBorders>
              <w:top w:val="single" w:color="000000" w:sz="12"/>
              <w:left w:val="nil" w:color="000000"/>
              <w:bottom w:val="single" w:color="000000" w:sz="6"/>
              <w:right w:val="nil" w:color="000000"/>
            </w:tcBorders>
          </w:tcPr>
          <w:p>
            <w:pPr>
              <w:spacing w:after="0"/>
            </w:pPr>
            <w:r>
              <w:rPr>
                <w:rFonts w:ascii="Times New Roman" w:hAnsi="Times New Roman" w:eastAsia="Times New Roman" w:cs="Times New Roman"/>
                <w:b w:val="true"/>
                <w:sz w:val="20"/>
              </w:rPr>
              <w:t xml:space="preserve">HonestDiD Parameter</w:t>
            </w:r>
          </w:p>
        </w:tc>
        <w:tc>
          <w:tcPr>
            <w:tcW w:w="2592"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Relative Shift Bound (M)</w:t>
            </w:r>
          </w:p>
        </w:tc>
        <w:tc>
          <w:tcPr>
            <w:tcW w:w="2880"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95% Robust Confidence Interval</w:t>
            </w:r>
          </w:p>
        </w:tc>
      </w:tr>
      <w:tr>
        <w:tc>
          <w:tcPr>
            <w:tcW w:w="4608" w:type="dxa"/>
            <w:tcBorders>
              <w:top w:val="single" w:color="000000" w:sz="6"/>
              <w:left w:val="nil" w:color="000000"/>
              <w:bottom w:val="nil" w:color="000000"/>
              <w:right w:val="nil" w:color="000000"/>
            </w:tcBorders>
          </w:tcPr>
          <w:p>
            <w:pPr>
              <w:spacing w:after="0"/>
            </w:pPr>
            <w:r>
              <w:rPr>
                <w:rFonts w:ascii="Times New Roman" w:hAnsi="Times New Roman" w:eastAsia="Times New Roman" w:cs="Times New Roman"/>
                <w:sz w:val="20"/>
              </w:rPr>
              <w:t xml:space="preserve">Outcome Variable Profile</w:t>
            </w:r>
          </w:p>
        </w:tc>
        <w:tc>
          <w:tcPr>
            <w:tcW w:w="2592"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ln(Solar + 1)</w:t>
            </w:r>
          </w:p>
        </w:tc>
        <w:tc>
          <w:tcPr>
            <w:tcW w:w="2880"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Policy: Any GB Treatment</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Exact Parallel Trends baseline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[-0.019, 0.682]</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0.5</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[-0.143, 0.812]</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1.0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[-0.311, 1.023]</w:t>
            </w:r>
          </w:p>
        </w:tc>
      </w:tr>
      <w:tr>
        <w:tc>
          <w:tcPr>
            <w:tcW w:w="4608" w:type="dxa"/>
            <w:tcBorders>
              <w:top w:val="nil" w:color="000000"/>
              <w:left w:val="nil" w:color="000000"/>
              <w:bottom w:val="single" w:color="000000" w:sz="12"/>
              <w:right w:val="nil" w:color="000000"/>
            </w:tcBorders>
          </w:tcPr>
          <w:p>
            <w:pPr>
              <w:spacing w:after="0"/>
            </w:pPr>
            <w:r>
              <w:rPr>
                <w:rFonts w:ascii="Times New Roman" w:hAnsi="Times New Roman" w:eastAsia="Times New Roman" w:cs="Times New Roman"/>
                <w:sz w:val="20"/>
              </w:rPr>
              <w:t xml:space="preserve">State-Year Baseline Controls</w:t>
            </w:r>
          </w:p>
        </w:tc>
        <w:tc>
          <w:tcPr>
            <w:tcW w:w="2592"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Yes</w:t>
            </w:r>
          </w:p>
        </w:tc>
        <w:tc>
          <w:tcPr>
            <w:tcW w:w="2880"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ln(GDP pc), RPS, State &amp; Year FE</w:t>
            </w:r>
          </w:p>
        </w:tc>
      </w:tr>
    </w:tbl>
    <w:p>
      <w:r>
        <w:t/>
      </w:r>
    </w:p>
    <w:p>
      <w:pPr>
        <w:spacing w:before="80" w:after="240" w:lineRule="auto"/>
      </w:pPr>
      <w:r>
        <w:t/>
      </w:r>
      <w:r>
        <w:rPr>
          <w:rFonts w:ascii="Times New Roman" w:hAnsi="Times New Roman" w:eastAsia="Times New Roman" w:cs="Times New Roman"/>
          <w:b w:val="true"/>
          <w:i w:val="true"/>
          <w:sz w:val="18"/>
        </w:rPr>
        <w:t xml:space="preserve">Note: </w:t>
      </w:r>
      <w:r>
        <w:rPr>
          <w:rFonts w:ascii="Times New Roman" w:hAnsi="Times New Roman" w:eastAsia="Times New Roman" w:cs="Times New Roman"/>
          <w:i w:val="true"/>
          <w:sz w:val="18"/>
        </w:rPr>
        <w:t xml:space="preserve">Confidence intervals calculated under the Relative Magnitudes framework (Delta_RM) in HonestDiD. For exact break-even values of M, please reference the generated diagram 'plot1_honestdid_breakdown.png'.</w:t>
      </w:r>
    </w:p>
    <w:p>
      <w:r>
        <w:br w:type="page"/>
      </w:r>
    </w:p>
    <w:p>
      <w:pPr>
        <w:spacing w:before="480" w:after="120" w:lineRule="auto"/>
      </w:pPr>
      <w:r>
        <w:t/>
      </w:r>
      <w:r>
        <w:rPr>
          <w:rFonts w:ascii="Times New Roman" w:hAnsi="Times New Roman" w:eastAsia="Times New Roman" w:cs="Times New Roman"/>
          <w:b w:val="true"/>
          <w:sz w:val="24"/>
        </w:rPr>
        <w:t xml:space="preserve">Execution 2A: Corporate Green Bonds on Solar Capacity</w:t>
      </w:r>
    </w:p>
    <w:tbl>
      <w:tblPr>
        <w:tblStyle w:val="TableGrid"/>
        <w:jc w:val="center"/>
      </w:tblPr>
      <w:tblGrid>
        <w:gridCol w:w="3120"/>
        <w:gridCol w:w="3120"/>
        <w:gridCol w:w="3120"/>
      </w:tblGrid>
      <w:tr>
        <w:tc>
          <w:tcPr>
            <w:tcW w:w="4608" w:type="dxa"/>
            <w:tcBorders>
              <w:top w:val="single" w:color="000000" w:sz="12"/>
              <w:left w:val="nil" w:color="000000"/>
              <w:bottom w:val="single" w:color="000000" w:sz="6"/>
              <w:right w:val="nil" w:color="000000"/>
            </w:tcBorders>
          </w:tcPr>
          <w:p>
            <w:pPr>
              <w:spacing w:after="0"/>
            </w:pPr>
            <w:r>
              <w:rPr>
                <w:rFonts w:ascii="Times New Roman" w:hAnsi="Times New Roman" w:eastAsia="Times New Roman" w:cs="Times New Roman"/>
                <w:b w:val="true"/>
                <w:sz w:val="20"/>
              </w:rPr>
              <w:t xml:space="preserve">HonestDiD Parameter</w:t>
            </w:r>
          </w:p>
        </w:tc>
        <w:tc>
          <w:tcPr>
            <w:tcW w:w="2592"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Relative Shift Bound (M)</w:t>
            </w:r>
          </w:p>
        </w:tc>
        <w:tc>
          <w:tcPr>
            <w:tcW w:w="2880"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95% Robust Confidence Interval</w:t>
            </w:r>
          </w:p>
        </w:tc>
      </w:tr>
      <w:tr>
        <w:tc>
          <w:tcPr>
            <w:tcW w:w="4608" w:type="dxa"/>
            <w:tcBorders>
              <w:top w:val="single" w:color="000000" w:sz="6"/>
              <w:left w:val="nil" w:color="000000"/>
              <w:bottom w:val="nil" w:color="000000"/>
              <w:right w:val="nil" w:color="000000"/>
            </w:tcBorders>
          </w:tcPr>
          <w:p>
            <w:pPr>
              <w:spacing w:after="0"/>
            </w:pPr>
            <w:r>
              <w:rPr>
                <w:rFonts w:ascii="Times New Roman" w:hAnsi="Times New Roman" w:eastAsia="Times New Roman" w:cs="Times New Roman"/>
                <w:sz w:val="20"/>
              </w:rPr>
              <w:t xml:space="preserve">Outcome Variable Profile</w:t>
            </w:r>
          </w:p>
        </w:tc>
        <w:tc>
          <w:tcPr>
            <w:tcW w:w="2592"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ln(Solar + 1)</w:t>
            </w:r>
          </w:p>
        </w:tc>
        <w:tc>
          <w:tcPr>
            <w:tcW w:w="2880"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Policy: Corporate GB Only</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Exact Parallel Trends baseline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[-0.177, 0.600]</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0.5</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[-0.322, 0.755]</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1.0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[-0.490, 0.912]</w:t>
            </w:r>
          </w:p>
        </w:tc>
      </w:tr>
      <w:tr>
        <w:tc>
          <w:tcPr>
            <w:tcW w:w="4608" w:type="dxa"/>
            <w:tcBorders>
              <w:top w:val="nil" w:color="000000"/>
              <w:left w:val="nil" w:color="000000"/>
              <w:bottom w:val="single" w:color="000000" w:sz="12"/>
              <w:right w:val="nil" w:color="000000"/>
            </w:tcBorders>
          </w:tcPr>
          <w:p>
            <w:pPr>
              <w:spacing w:after="0"/>
            </w:pPr>
            <w:r>
              <w:rPr>
                <w:rFonts w:ascii="Times New Roman" w:hAnsi="Times New Roman" w:eastAsia="Times New Roman" w:cs="Times New Roman"/>
                <w:sz w:val="20"/>
              </w:rPr>
              <w:t xml:space="preserve">State-Year Baseline Controls</w:t>
            </w:r>
          </w:p>
        </w:tc>
        <w:tc>
          <w:tcPr>
            <w:tcW w:w="2592"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Yes</w:t>
            </w:r>
          </w:p>
        </w:tc>
        <w:tc>
          <w:tcPr>
            <w:tcW w:w="2880"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ln(GDP pc), RPS, State &amp; Year FE</w:t>
            </w:r>
          </w:p>
        </w:tc>
      </w:tr>
    </w:tbl>
    <w:p>
      <w:r>
        <w:t/>
      </w:r>
    </w:p>
    <w:p>
      <w:pPr>
        <w:spacing w:before="80" w:after="240" w:lineRule="auto"/>
      </w:pPr>
      <w:r>
        <w:t/>
      </w:r>
      <w:r>
        <w:rPr>
          <w:rFonts w:ascii="Times New Roman" w:hAnsi="Times New Roman" w:eastAsia="Times New Roman" w:cs="Times New Roman"/>
          <w:b w:val="true"/>
          <w:i w:val="true"/>
          <w:sz w:val="18"/>
        </w:rPr>
        <w:t xml:space="preserve">Note: </w:t>
      </w:r>
      <w:r>
        <w:rPr>
          <w:rFonts w:ascii="Times New Roman" w:hAnsi="Times New Roman" w:eastAsia="Times New Roman" w:cs="Times New Roman"/>
          <w:i w:val="true"/>
          <w:sz w:val="18"/>
        </w:rPr>
        <w:t xml:space="preserve">Confidence intervals calculated under the Relative Magnitudes framework (Delta_RM) in HonestDiD. For exact break-even values of M, please reference the generated diagram 'plot2A_honestdid_breakdown.png'.</w:t>
      </w:r>
    </w:p>
    <w:p>
      <w:r>
        <w:br w:type="page"/>
      </w:r>
    </w:p>
    <w:p>
      <w:pPr>
        <w:spacing w:before="480" w:after="120" w:lineRule="auto"/>
      </w:pPr>
      <w:r>
        <w:t/>
      </w:r>
      <w:r>
        <w:rPr>
          <w:rFonts w:ascii="Times New Roman" w:hAnsi="Times New Roman" w:eastAsia="Times New Roman" w:cs="Times New Roman"/>
          <w:b w:val="true"/>
          <w:sz w:val="24"/>
        </w:rPr>
        <w:t xml:space="preserve">Execution 2B: Public Green Bonds on Solar Capacity</w:t>
      </w:r>
    </w:p>
    <w:tbl>
      <w:tblPr>
        <w:tblStyle w:val="TableGrid"/>
        <w:jc w:val="center"/>
      </w:tblPr>
      <w:tblGrid>
        <w:gridCol w:w="3120"/>
        <w:gridCol w:w="3120"/>
        <w:gridCol w:w="3120"/>
      </w:tblGrid>
      <w:tr>
        <w:tc>
          <w:tcPr>
            <w:tcW w:w="4608" w:type="dxa"/>
            <w:tcBorders>
              <w:top w:val="single" w:color="000000" w:sz="12"/>
              <w:left w:val="nil" w:color="000000"/>
              <w:bottom w:val="single" w:color="000000" w:sz="6"/>
              <w:right w:val="nil" w:color="000000"/>
            </w:tcBorders>
          </w:tcPr>
          <w:p>
            <w:pPr>
              <w:spacing w:after="0"/>
            </w:pPr>
            <w:r>
              <w:rPr>
                <w:rFonts w:ascii="Times New Roman" w:hAnsi="Times New Roman" w:eastAsia="Times New Roman" w:cs="Times New Roman"/>
                <w:b w:val="true"/>
                <w:sz w:val="20"/>
              </w:rPr>
              <w:t xml:space="preserve">HonestDiD Parameter</w:t>
            </w:r>
          </w:p>
        </w:tc>
        <w:tc>
          <w:tcPr>
            <w:tcW w:w="2592"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Relative Shift Bound (M)</w:t>
            </w:r>
          </w:p>
        </w:tc>
        <w:tc>
          <w:tcPr>
            <w:tcW w:w="2880"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95% Robust Confidence Interval</w:t>
            </w:r>
          </w:p>
        </w:tc>
      </w:tr>
      <w:tr>
        <w:tc>
          <w:tcPr>
            <w:tcW w:w="4608" w:type="dxa"/>
            <w:tcBorders>
              <w:top w:val="single" w:color="000000" w:sz="6"/>
              <w:left w:val="nil" w:color="000000"/>
              <w:bottom w:val="nil" w:color="000000"/>
              <w:right w:val="nil" w:color="000000"/>
            </w:tcBorders>
          </w:tcPr>
          <w:p>
            <w:pPr>
              <w:spacing w:after="0"/>
            </w:pPr>
            <w:r>
              <w:rPr>
                <w:rFonts w:ascii="Times New Roman" w:hAnsi="Times New Roman" w:eastAsia="Times New Roman" w:cs="Times New Roman"/>
                <w:sz w:val="20"/>
              </w:rPr>
              <w:t xml:space="preserve">Outcome Variable Profile</w:t>
            </w:r>
          </w:p>
        </w:tc>
        <w:tc>
          <w:tcPr>
            <w:tcW w:w="2592"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ln(Solar + 1)</w:t>
            </w:r>
          </w:p>
        </w:tc>
        <w:tc>
          <w:tcPr>
            <w:tcW w:w="2880"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Policy: Public GB Only</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Exact Parallel Trends baseline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[-0.019, 0.682]</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0.5</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[-0.144, 0.812]</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1.0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[-0.312, 1.024]</w:t>
            </w:r>
          </w:p>
        </w:tc>
      </w:tr>
      <w:tr>
        <w:tc>
          <w:tcPr>
            <w:tcW w:w="4608" w:type="dxa"/>
            <w:tcBorders>
              <w:top w:val="nil" w:color="000000"/>
              <w:left w:val="nil" w:color="000000"/>
              <w:bottom w:val="single" w:color="000000" w:sz="12"/>
              <w:right w:val="nil" w:color="000000"/>
            </w:tcBorders>
          </w:tcPr>
          <w:p>
            <w:pPr>
              <w:spacing w:after="0"/>
            </w:pPr>
            <w:r>
              <w:rPr>
                <w:rFonts w:ascii="Times New Roman" w:hAnsi="Times New Roman" w:eastAsia="Times New Roman" w:cs="Times New Roman"/>
                <w:sz w:val="20"/>
              </w:rPr>
              <w:t xml:space="preserve">State-Year Baseline Controls</w:t>
            </w:r>
          </w:p>
        </w:tc>
        <w:tc>
          <w:tcPr>
            <w:tcW w:w="2592"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Yes</w:t>
            </w:r>
          </w:p>
        </w:tc>
        <w:tc>
          <w:tcPr>
            <w:tcW w:w="2880"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ln(GDP pc), RPS, State &amp; Year FE</w:t>
            </w:r>
          </w:p>
        </w:tc>
      </w:tr>
    </w:tbl>
    <w:p>
      <w:r>
        <w:t/>
      </w:r>
    </w:p>
    <w:p>
      <w:pPr>
        <w:spacing w:before="80" w:after="240" w:lineRule="auto"/>
      </w:pPr>
      <w:r>
        <w:t/>
      </w:r>
      <w:r>
        <w:rPr>
          <w:rFonts w:ascii="Times New Roman" w:hAnsi="Times New Roman" w:eastAsia="Times New Roman" w:cs="Times New Roman"/>
          <w:b w:val="true"/>
          <w:i w:val="true"/>
          <w:sz w:val="18"/>
        </w:rPr>
        <w:t xml:space="preserve">Note: </w:t>
      </w:r>
      <w:r>
        <w:rPr>
          <w:rFonts w:ascii="Times New Roman" w:hAnsi="Times New Roman" w:eastAsia="Times New Roman" w:cs="Times New Roman"/>
          <w:i w:val="true"/>
          <w:sz w:val="18"/>
        </w:rPr>
        <w:t xml:space="preserve">Confidence intervals calculated under the Relative Magnitudes framework (Delta_RM) in HonestDiD. For exact break-even values of M, please reference the generated diagram 'plot2B_honestdid_breakdown.png'.</w:t>
      </w:r>
    </w:p>
    <w:p>
      <w:r>
        <w:br w:type="page"/>
      </w:r>
    </w:p>
    <w:p>
      <w:pPr>
        <w:spacing w:before="480" w:after="120" w:lineRule="auto"/>
      </w:pPr>
      <w:r>
        <w:t/>
      </w:r>
      <w:r>
        <w:rPr>
          <w:rFonts w:ascii="Times New Roman" w:hAnsi="Times New Roman" w:eastAsia="Times New Roman" w:cs="Times New Roman"/>
          <w:b w:val="true"/>
          <w:sz w:val="24"/>
        </w:rPr>
        <w:t xml:space="preserve">Execution 3: Any Green Bonds on Wind Capacity</w:t>
      </w:r>
    </w:p>
    <w:tbl>
      <w:tblPr>
        <w:tblStyle w:val="TableGrid"/>
        <w:jc w:val="center"/>
      </w:tblPr>
      <w:tblGrid>
        <w:gridCol w:w="3120"/>
        <w:gridCol w:w="3120"/>
        <w:gridCol w:w="3120"/>
      </w:tblGrid>
      <w:tr>
        <w:tc>
          <w:tcPr>
            <w:tcW w:w="4608" w:type="dxa"/>
            <w:tcBorders>
              <w:top w:val="single" w:color="000000" w:sz="12"/>
              <w:left w:val="nil" w:color="000000"/>
              <w:bottom w:val="single" w:color="000000" w:sz="6"/>
              <w:right w:val="nil" w:color="000000"/>
            </w:tcBorders>
          </w:tcPr>
          <w:p>
            <w:pPr>
              <w:spacing w:after="0"/>
            </w:pPr>
            <w:r>
              <w:rPr>
                <w:rFonts w:ascii="Times New Roman" w:hAnsi="Times New Roman" w:eastAsia="Times New Roman" w:cs="Times New Roman"/>
                <w:b w:val="true"/>
                <w:sz w:val="20"/>
              </w:rPr>
              <w:t xml:space="preserve">HonestDiD Parameter</w:t>
            </w:r>
          </w:p>
        </w:tc>
        <w:tc>
          <w:tcPr>
            <w:tcW w:w="2592"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Relative Shift Bound (M)</w:t>
            </w:r>
          </w:p>
        </w:tc>
        <w:tc>
          <w:tcPr>
            <w:tcW w:w="2880"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95% Robust Confidence Interval</w:t>
            </w:r>
          </w:p>
        </w:tc>
      </w:tr>
      <w:tr>
        <w:tc>
          <w:tcPr>
            <w:tcW w:w="4608" w:type="dxa"/>
            <w:tcBorders>
              <w:top w:val="single" w:color="000000" w:sz="6"/>
              <w:left w:val="nil" w:color="000000"/>
              <w:bottom w:val="nil" w:color="000000"/>
              <w:right w:val="nil" w:color="000000"/>
            </w:tcBorders>
          </w:tcPr>
          <w:p>
            <w:pPr>
              <w:spacing w:after="0"/>
            </w:pPr>
            <w:r>
              <w:rPr>
                <w:rFonts w:ascii="Times New Roman" w:hAnsi="Times New Roman" w:eastAsia="Times New Roman" w:cs="Times New Roman"/>
                <w:sz w:val="20"/>
              </w:rPr>
              <w:t xml:space="preserve">Outcome Variable Profile</w:t>
            </w:r>
          </w:p>
        </w:tc>
        <w:tc>
          <w:tcPr>
            <w:tcW w:w="2592"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ln(Wind + 1)</w:t>
            </w:r>
          </w:p>
        </w:tc>
        <w:tc>
          <w:tcPr>
            <w:tcW w:w="2880"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Policy: Any GB Treatment</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Exact Parallel Trends baseline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[-0.298, 0.607]</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0.5</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[-0.477, 0.783]</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1.0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[-0.699, 1.011]</w:t>
            </w:r>
          </w:p>
        </w:tc>
      </w:tr>
      <w:tr>
        <w:tc>
          <w:tcPr>
            <w:tcW w:w="4608" w:type="dxa"/>
            <w:tcBorders>
              <w:top w:val="nil" w:color="000000"/>
              <w:left w:val="nil" w:color="000000"/>
              <w:bottom w:val="single" w:color="000000" w:sz="12"/>
              <w:right w:val="nil" w:color="000000"/>
            </w:tcBorders>
          </w:tcPr>
          <w:p>
            <w:pPr>
              <w:spacing w:after="0"/>
            </w:pPr>
            <w:r>
              <w:rPr>
                <w:rFonts w:ascii="Times New Roman" w:hAnsi="Times New Roman" w:eastAsia="Times New Roman" w:cs="Times New Roman"/>
                <w:sz w:val="20"/>
              </w:rPr>
              <w:t xml:space="preserve">State-Year Baseline Controls</w:t>
            </w:r>
          </w:p>
        </w:tc>
        <w:tc>
          <w:tcPr>
            <w:tcW w:w="2592"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Yes</w:t>
            </w:r>
          </w:p>
        </w:tc>
        <w:tc>
          <w:tcPr>
            <w:tcW w:w="2880"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ln(GDP pc), RPS, State &amp; Year FE</w:t>
            </w:r>
          </w:p>
        </w:tc>
      </w:tr>
    </w:tbl>
    <w:p>
      <w:r>
        <w:t/>
      </w:r>
    </w:p>
    <w:p>
      <w:pPr>
        <w:spacing w:before="80" w:after="240" w:lineRule="auto"/>
      </w:pPr>
      <w:r>
        <w:t/>
      </w:r>
      <w:r>
        <w:rPr>
          <w:rFonts w:ascii="Times New Roman" w:hAnsi="Times New Roman" w:eastAsia="Times New Roman" w:cs="Times New Roman"/>
          <w:b w:val="true"/>
          <w:i w:val="true"/>
          <w:sz w:val="18"/>
        </w:rPr>
        <w:t xml:space="preserve">Note: </w:t>
      </w:r>
      <w:r>
        <w:rPr>
          <w:rFonts w:ascii="Times New Roman" w:hAnsi="Times New Roman" w:eastAsia="Times New Roman" w:cs="Times New Roman"/>
          <w:i w:val="true"/>
          <w:sz w:val="18"/>
        </w:rPr>
        <w:t xml:space="preserve">Confidence intervals calculated under the Relative Magnitudes framework (Delta_RM) in HonestDiD. For exact break-even values of M, please reference the generated diagram 'plot3_honestdid_breakdown.png'.</w:t>
      </w:r>
    </w:p>
    <w:p>
      <w:r>
        <w:br w:type="page"/>
      </w:r>
    </w:p>
    <w:p>
      <w:pPr>
        <w:spacing w:before="480" w:after="120" w:lineRule="auto"/>
      </w:pPr>
      <w:r>
        <w:t/>
      </w:r>
      <w:r>
        <w:rPr>
          <w:rFonts w:ascii="Times New Roman" w:hAnsi="Times New Roman" w:eastAsia="Times New Roman" w:cs="Times New Roman"/>
          <w:b w:val="true"/>
          <w:sz w:val="24"/>
        </w:rPr>
        <w:t xml:space="preserve">Execution 4A: Corporate Green Bonds on Wind Capacity</w:t>
      </w:r>
    </w:p>
    <w:tbl>
      <w:tblPr>
        <w:tblStyle w:val="TableGrid"/>
        <w:jc w:val="center"/>
      </w:tblPr>
      <w:tblGrid>
        <w:gridCol w:w="3120"/>
        <w:gridCol w:w="3120"/>
        <w:gridCol w:w="3120"/>
      </w:tblGrid>
      <w:tr>
        <w:tc>
          <w:tcPr>
            <w:tcW w:w="4608" w:type="dxa"/>
            <w:tcBorders>
              <w:top w:val="single" w:color="000000" w:sz="12"/>
              <w:left w:val="nil" w:color="000000"/>
              <w:bottom w:val="single" w:color="000000" w:sz="6"/>
              <w:right w:val="nil" w:color="000000"/>
            </w:tcBorders>
          </w:tcPr>
          <w:p>
            <w:pPr>
              <w:spacing w:after="0"/>
            </w:pPr>
            <w:r>
              <w:rPr>
                <w:rFonts w:ascii="Times New Roman" w:hAnsi="Times New Roman" w:eastAsia="Times New Roman" w:cs="Times New Roman"/>
                <w:b w:val="true"/>
                <w:sz w:val="20"/>
              </w:rPr>
              <w:t xml:space="preserve">HonestDiD Parameter</w:t>
            </w:r>
          </w:p>
        </w:tc>
        <w:tc>
          <w:tcPr>
            <w:tcW w:w="2592"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Relative Shift Bound (M)</w:t>
            </w:r>
          </w:p>
        </w:tc>
        <w:tc>
          <w:tcPr>
            <w:tcW w:w="2880"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95% Robust Confidence Interval</w:t>
            </w:r>
          </w:p>
        </w:tc>
      </w:tr>
      <w:tr>
        <w:tc>
          <w:tcPr>
            <w:tcW w:w="4608" w:type="dxa"/>
            <w:tcBorders>
              <w:top w:val="single" w:color="000000" w:sz="6"/>
              <w:left w:val="nil" w:color="000000"/>
              <w:bottom w:val="nil" w:color="000000"/>
              <w:right w:val="nil" w:color="000000"/>
            </w:tcBorders>
          </w:tcPr>
          <w:p>
            <w:pPr>
              <w:spacing w:after="0"/>
            </w:pPr>
            <w:r>
              <w:rPr>
                <w:rFonts w:ascii="Times New Roman" w:hAnsi="Times New Roman" w:eastAsia="Times New Roman" w:cs="Times New Roman"/>
                <w:sz w:val="20"/>
              </w:rPr>
              <w:t xml:space="preserve">Outcome Variable Profile</w:t>
            </w:r>
          </w:p>
        </w:tc>
        <w:tc>
          <w:tcPr>
            <w:tcW w:w="2592"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ln(Wind + 1)</w:t>
            </w:r>
          </w:p>
        </w:tc>
        <w:tc>
          <w:tcPr>
            <w:tcW w:w="2880"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Policy: Corporate GB Only</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Exact Parallel Trends baseline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[-0.323, 0.501]</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0.5</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[-0.499, 0.680]</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1.0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[-0.710, 0.899]</w:t>
            </w:r>
          </w:p>
        </w:tc>
      </w:tr>
      <w:tr>
        <w:tc>
          <w:tcPr>
            <w:tcW w:w="4608" w:type="dxa"/>
            <w:tcBorders>
              <w:top w:val="nil" w:color="000000"/>
              <w:left w:val="nil" w:color="000000"/>
              <w:bottom w:val="single" w:color="000000" w:sz="12"/>
              <w:right w:val="nil" w:color="000000"/>
            </w:tcBorders>
          </w:tcPr>
          <w:p>
            <w:pPr>
              <w:spacing w:after="0"/>
            </w:pPr>
            <w:r>
              <w:rPr>
                <w:rFonts w:ascii="Times New Roman" w:hAnsi="Times New Roman" w:eastAsia="Times New Roman" w:cs="Times New Roman"/>
                <w:sz w:val="20"/>
              </w:rPr>
              <w:t xml:space="preserve">State-Year Baseline Controls</w:t>
            </w:r>
          </w:p>
        </w:tc>
        <w:tc>
          <w:tcPr>
            <w:tcW w:w="2592"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Yes</w:t>
            </w:r>
          </w:p>
        </w:tc>
        <w:tc>
          <w:tcPr>
            <w:tcW w:w="2880"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ln(GDP pc), RPS, State &amp; Year FE</w:t>
            </w:r>
          </w:p>
        </w:tc>
      </w:tr>
    </w:tbl>
    <w:p>
      <w:r>
        <w:t/>
      </w:r>
    </w:p>
    <w:p>
      <w:pPr>
        <w:spacing w:before="80" w:after="240" w:lineRule="auto"/>
      </w:pPr>
      <w:r>
        <w:t/>
      </w:r>
      <w:r>
        <w:rPr>
          <w:rFonts w:ascii="Times New Roman" w:hAnsi="Times New Roman" w:eastAsia="Times New Roman" w:cs="Times New Roman"/>
          <w:b w:val="true"/>
          <w:i w:val="true"/>
          <w:sz w:val="18"/>
        </w:rPr>
        <w:t xml:space="preserve">Note: </w:t>
      </w:r>
      <w:r>
        <w:rPr>
          <w:rFonts w:ascii="Times New Roman" w:hAnsi="Times New Roman" w:eastAsia="Times New Roman" w:cs="Times New Roman"/>
          <w:i w:val="true"/>
          <w:sz w:val="18"/>
        </w:rPr>
        <w:t xml:space="preserve">Confidence intervals calculated under the Relative Magnitudes framework (Delta_RM) in HonestDiD. For exact break-even values of M, please reference the generated diagram 'plot4A_honestdid_breakdown.png'.</w:t>
      </w:r>
    </w:p>
    <w:p>
      <w:r>
        <w:br w:type="page"/>
      </w:r>
    </w:p>
    <w:p>
      <w:pPr>
        <w:spacing w:before="480" w:after="120" w:lineRule="auto"/>
      </w:pPr>
      <w:r>
        <w:t/>
      </w:r>
      <w:r>
        <w:rPr>
          <w:rFonts w:ascii="Times New Roman" w:hAnsi="Times New Roman" w:eastAsia="Times New Roman" w:cs="Times New Roman"/>
          <w:b w:val="true"/>
          <w:sz w:val="24"/>
        </w:rPr>
        <w:t xml:space="preserve">Execution 4B: Public Green Bonds on Wind Capacity</w:t>
      </w:r>
    </w:p>
    <w:tbl>
      <w:tblPr>
        <w:tblStyle w:val="TableGrid"/>
        <w:jc w:val="center"/>
      </w:tblPr>
      <w:tblGrid>
        <w:gridCol w:w="3120"/>
        <w:gridCol w:w="3120"/>
        <w:gridCol w:w="3120"/>
      </w:tblGrid>
      <w:tr>
        <w:tc>
          <w:tcPr>
            <w:tcW w:w="4608" w:type="dxa"/>
            <w:tcBorders>
              <w:top w:val="single" w:color="000000" w:sz="12"/>
              <w:left w:val="nil" w:color="000000"/>
              <w:bottom w:val="single" w:color="000000" w:sz="6"/>
              <w:right w:val="nil" w:color="000000"/>
            </w:tcBorders>
          </w:tcPr>
          <w:p>
            <w:pPr>
              <w:spacing w:after="0"/>
            </w:pPr>
            <w:r>
              <w:rPr>
                <w:rFonts w:ascii="Times New Roman" w:hAnsi="Times New Roman" w:eastAsia="Times New Roman" w:cs="Times New Roman"/>
                <w:b w:val="true"/>
                <w:sz w:val="20"/>
              </w:rPr>
              <w:t xml:space="preserve">HonestDiD Parameter</w:t>
            </w:r>
          </w:p>
        </w:tc>
        <w:tc>
          <w:tcPr>
            <w:tcW w:w="2592"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Relative Shift Bound (M)</w:t>
            </w:r>
          </w:p>
        </w:tc>
        <w:tc>
          <w:tcPr>
            <w:tcW w:w="2880" w:type="dxa"/>
            <w:tcBorders>
              <w:top w:val="single" w:color="000000" w:sz="12"/>
              <w:left w:val="nil" w:color="000000"/>
              <w:bottom w:val="single" w:color="000000" w:sz="6"/>
              <w:right w:val="nil" w:color="000000"/>
            </w:tcBorders>
          </w:tcPr>
          <w:p>
            <w:pPr>
              <w:spacing w:after="0"/>
              <w:jc w:val="center"/>
            </w:pPr>
            <w:r>
              <w:rPr>
                <w:rFonts w:ascii="Times New Roman" w:hAnsi="Times New Roman" w:eastAsia="Times New Roman" w:cs="Times New Roman"/>
                <w:b w:val="true"/>
                <w:sz w:val="20"/>
              </w:rPr>
              <w:t xml:space="preserve">95% Robust Confidence Interval</w:t>
            </w:r>
          </w:p>
        </w:tc>
      </w:tr>
      <w:tr>
        <w:tc>
          <w:tcPr>
            <w:tcW w:w="4608" w:type="dxa"/>
            <w:tcBorders>
              <w:top w:val="single" w:color="000000" w:sz="6"/>
              <w:left w:val="nil" w:color="000000"/>
              <w:bottom w:val="nil" w:color="000000"/>
              <w:right w:val="nil" w:color="000000"/>
            </w:tcBorders>
          </w:tcPr>
          <w:p>
            <w:pPr>
              <w:spacing w:after="0"/>
            </w:pPr>
            <w:r>
              <w:rPr>
                <w:rFonts w:ascii="Times New Roman" w:hAnsi="Times New Roman" w:eastAsia="Times New Roman" w:cs="Times New Roman"/>
                <w:sz w:val="20"/>
              </w:rPr>
              <w:t xml:space="preserve">Outcome Variable Profile</w:t>
            </w:r>
          </w:p>
        </w:tc>
        <w:tc>
          <w:tcPr>
            <w:tcW w:w="2592"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ln(Wind + 1)</w:t>
            </w:r>
          </w:p>
        </w:tc>
        <w:tc>
          <w:tcPr>
            <w:tcW w:w="2880" w:type="dxa"/>
            <w:tcBorders>
              <w:top w:val="single" w:color="000000" w:sz="6"/>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Policy: Public GB Only</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Exact Parallel Trends baseline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[-0.299, 0.606]</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0.5</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[-0.478, 0.782]</w:t>
            </w:r>
          </w:p>
        </w:tc>
      </w:tr>
      <w:tr>
        <w:tc>
          <w:tcPr>
            <w:tcW w:w="4608" w:type="dxa"/>
            <w:tcBorders>
              <w:top w:val="nil" w:color="000000"/>
              <w:left w:val="nil" w:color="000000"/>
              <w:bottom w:val="nil" w:color="000000"/>
              <w:right w:val="nil" w:color="000000"/>
            </w:tcBorders>
          </w:tcPr>
          <w:p>
            <w:pPr>
              <w:spacing w:after="0"/>
            </w:pPr>
            <w:r>
              <w:rPr>
                <w:rFonts w:ascii="Times New Roman" w:hAnsi="Times New Roman" w:eastAsia="Times New Roman" w:cs="Times New Roman"/>
                <w:sz w:val="20"/>
              </w:rPr>
              <w:t xml:space="preserve">Relative Trend shift allowance</w:t>
            </w:r>
          </w:p>
        </w:tc>
        <w:tc>
          <w:tcPr>
            <w:tcW w:w="2592"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M = 1.0</w:t>
            </w:r>
          </w:p>
        </w:tc>
        <w:tc>
          <w:tcPr>
            <w:tcW w:w="2880" w:type="dxa"/>
            <w:tcBorders>
              <w:top w:val="nil" w:color="000000"/>
              <w:left w:val="nil" w:color="000000"/>
              <w:bottom w:val="nil" w:color="000000"/>
              <w:right w:val="nil" w:color="000000"/>
            </w:tcBorders>
          </w:tcPr>
          <w:p>
            <w:pPr>
              <w:spacing w:after="0"/>
              <w:jc w:val="center"/>
            </w:pPr>
            <w:r>
              <w:rPr>
                <w:rFonts w:ascii="Times New Roman" w:hAnsi="Times New Roman" w:eastAsia="Times New Roman" w:cs="Times New Roman"/>
                <w:sz w:val="20"/>
              </w:rPr>
              <w:t xml:space="preserve">[-0.700, 1.010]</w:t>
            </w:r>
          </w:p>
        </w:tc>
      </w:tr>
      <w:tr>
        <w:tc>
          <w:tcPr>
            <w:tcW w:w="4608" w:type="dxa"/>
            <w:tcBorders>
              <w:top w:val="nil" w:color="000000"/>
              <w:left w:val="nil" w:color="000000"/>
              <w:bottom w:val="single" w:color="000000" w:sz="12"/>
              <w:right w:val="nil" w:color="000000"/>
            </w:tcBorders>
          </w:tcPr>
          <w:p>
            <w:pPr>
              <w:spacing w:after="0"/>
            </w:pPr>
            <w:r>
              <w:rPr>
                <w:rFonts w:ascii="Times New Roman" w:hAnsi="Times New Roman" w:eastAsia="Times New Roman" w:cs="Times New Roman"/>
                <w:sz w:val="20"/>
              </w:rPr>
              <w:t xml:space="preserve">State-Year Baseline Controls</w:t>
            </w:r>
          </w:p>
        </w:tc>
        <w:tc>
          <w:tcPr>
            <w:tcW w:w="2592"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Yes</w:t>
            </w:r>
          </w:p>
        </w:tc>
        <w:tc>
          <w:tcPr>
            <w:tcW w:w="2880" w:type="dxa"/>
            <w:tcBorders>
              <w:top w:val="nil" w:color="000000"/>
              <w:left w:val="nil" w:color="000000"/>
              <w:bottom w:val="single" w:color="000000" w:sz="12"/>
              <w:right w:val="nil" w:color="000000"/>
            </w:tcBorders>
          </w:tcPr>
          <w:p>
            <w:pPr>
              <w:spacing w:after="0"/>
              <w:jc w:val="center"/>
            </w:pPr>
            <w:r>
              <w:rPr>
                <w:rFonts w:ascii="Times New Roman" w:hAnsi="Times New Roman" w:eastAsia="Times New Roman" w:cs="Times New Roman"/>
                <w:sz w:val="20"/>
              </w:rPr>
              <w:t xml:space="preserve">ln(GDP pc), RPS, State &amp; Year FE</w:t>
            </w:r>
          </w:p>
        </w:tc>
      </w:tr>
    </w:tbl>
    <w:p>
      <w:r>
        <w:t/>
      </w:r>
    </w:p>
    <w:p>
      <w:pPr>
        <w:spacing w:before="80" w:after="240" w:lineRule="auto"/>
      </w:pPr>
      <w:r>
        <w:t/>
      </w:r>
      <w:r>
        <w:rPr>
          <w:rFonts w:ascii="Times New Roman" w:hAnsi="Times New Roman" w:eastAsia="Times New Roman" w:cs="Times New Roman"/>
          <w:b w:val="true"/>
          <w:i w:val="true"/>
          <w:sz w:val="18"/>
        </w:rPr>
        <w:t xml:space="preserve">Note: </w:t>
      </w:r>
      <w:r>
        <w:rPr>
          <w:rFonts w:ascii="Times New Roman" w:hAnsi="Times New Roman" w:eastAsia="Times New Roman" w:cs="Times New Roman"/>
          <w:i w:val="true"/>
          <w:sz w:val="18"/>
        </w:rPr>
        <w:t xml:space="preserve">Confidence intervals calculated under the Relative Magnitudes framework (Delta_RM) in HonestDiD. For exact break-even values of M, please reference the generated diagram 'plot4B_honestdid_breakdown.png'.</w:t>
      </w:r>
    </w:p>
    <w:p>
      <w:r>
        <w:br w:type="page"/>
      </w:r>
    </w:p>
    <w:sectPr>
      <w:pgSz w:w="12240" w:h="15840" w:code="1"/>
      <w:pgMar w:top="1440" w:right="1440" w:bottom="1440" w:left="1440"/>
    </w:sectPr>
  </w:body>
</w:document>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