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Title"/>
        <w:jc w:val="left"/>
      </w:pPr>
      <w:r>
        <w:fldChar w:fldCharType="begin"/>
      </w:r>
      <w:r>
        <w:instrText xml:space="preserve"> DOCPROPERTY "Title" \* MERGEFORMAT </w:instrText>
      </w:r>
      <w:r>
        <w:fldChar w:fldCharType="separate"/>
      </w:r>
      <w:r>
        <w:t>Slope Stability Analysis</w:t>
      </w:r>
      <w:r>
        <w:fldChar w:fldCharType="end"/>
      </w:r>
    </w:p>
    <w:p>
      <w:pPr>
        <w:pStyle w:val="Subtitle"/>
        <w:jc w:val="left"/>
      </w:pPr>
      <w:r>
        <w:t>Slope Stability Analysis Report</w:t>
      </w:r>
    </w:p>
    <w:p/>
    <w:p/>
    <w:tbl>
      <w:tblPr>
        <w:tblW w:type="dxa" w:w="2494"/>
        <w:jc w:val="left"/>
        <w:tblLayout w:type="fixed"/>
        <w:tblCellMar>
          <w:top w:w="0" w:type="dxa"/>
          <w:left w:w="43" w:type="dxa"/>
          <w:bottom w:w="0" w:type="dxa"/>
          <w:right w:w="43" w:type="dxa"/>
        </w:tblCellMar>
        <w:tblLook w:firstColumn="1" w:firstRow="1" w:lastColumn="0" w:lastRow="0" w:noHBand="0" w:noVBand="1" w:val="04A0"/>
      </w:tblPr>
      <w:tblGrid>
        <w:gridCol w:w="666"/>
        <w:gridCol w:w="1828"/>
      </w:tblGrid>
      <w:tr>
        <w:tc>
          <w:tcPr>
            <w:tcW w:type="dxa" w:w="666"/>
            <w:vAlign w:val="center"/>
          </w:tcPr>
          <w:p>
            <w:pPr>
              <w:spacing w:before="0" w:after="0" w:line="240" w:lineRule="auto"/>
              <w:rPr>
                <w:sz w:val="21"/>
                <w:szCs w:val="21"/>
              </w:rPr>
            </w:pPr>
            <w:r>
              <w:rPr>
                <w:b/>
                <w:sz w:val="21"/>
              </w:rPr>
              <w:t>Date:</w:t>
            </w:r>
          </w:p>
        </w:tc>
        <w:tc>
          <w:tcPr>
            <w:tcW w:type="dxa" w:w="1828"/>
            <w:vAlign w:val="center"/>
          </w:tcPr>
          <w:p>
            <w:pPr>
              <w:spacing w:before="20" w:after="20"/>
              <w:rPr>
                <w:sz w:val="21"/>
                <w:szCs w:val="21"/>
              </w:rPr>
            </w:pPr>
            <w:r>
              <w:rPr>
                <w:sz w:val="21"/>
              </w:rPr>
            </w:r>
            <w:r>
              <w:rPr>
                <w:sz w:val="21"/>
              </w:rPr>
              <w:t>August 27, 2026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sz w:val="28"/>
        </w:rPr>
        <w:t>Table of Contents</w:t>
      </w:r>
    </w:p>
    <w:p>
      <w:pPr>
        <w:pStyle w:val="TOC1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t>1 Traceability</w:t>
      </w:r>
    </w:p>
    <w:p>
      <w:pPr>
        <w:pStyle w:val="TOC1"/>
      </w:pPr>
      <w:r>
        <w:t>2 Project Definition</w:t>
      </w:r>
    </w:p>
    <w:p>
      <w:pPr>
        <w:spacing w:before="200"/>
      </w:pPr>
      <w:r>
        <w:rPr>
          <w:i/>
          <w:sz w:val="18"/>
        </w:rPr>
        <w:t>Page numbers appear when the table is updated in Word (right-click → Update Field, or select all and press F9).</w:t>
      </w:r>
      <w:r>
        <w:fldChar w:fldCharType="end"/>
      </w:r>
    </w:p>
    <w:p>
      <w:pPr>
        <w:spacing w:before="0" w:after="0" w:line="20" w:lineRule="exact"/>
        <w:rPr>
          <w:vanish/>
          <w:sz w:val="2"/>
          <w:szCs w:val="2"/>
        </w:rPr>
        <w:sectPr>
          <w:headerReference w:type="default" r:id="rId9"/>
          <w:footerReference w:type="default" r:id="rId10"/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>
      <w:pPr>
        <w:pStyle w:val="Heading1"/>
      </w:pPr>
      <w:bookmarkStart w:id="1" w:name="xslope_section_1"/>
      <w:r>
        <w:t>Traceability</w:t>
      </w:r>
      <w:bookmarkEnd w:id="1"/>
    </w:p>
    <w:p>
      <w:pPr>
        <w:pStyle w:val="BodyText"/>
        <w:keepNext w:val="0"/>
      </w:pPr>
      <w:r>
        <w:t>The results in this report were computed by xslope from the input file below. Its SHA-256 digest identifies that file exactly.</w:t>
      </w:r>
    </w:p>
    <w:tbl>
      <w:tblPr>
        <w:tblW w:type="dxa" w:w="3732"/>
        <w:tblLayout w:type="fixed"/>
        <w:tblCellMar>
          <w:top w:w="0" w:type="dxa"/>
          <w:left w:w="43" w:type="dxa"/>
          <w:bottom w:w="0" w:type="dxa"/>
          <w:right w:w="43" w:type="dxa"/>
        </w:tblCellMar>
        <w:tblLook w:firstColumn="1" w:firstRow="1" w:lastColumn="0" w:lastRow="0" w:noHBand="0" w:noVBand="1" w:val="04A0"/>
      </w:tblPr>
      <w:tblGrid>
        <w:gridCol w:w="1846"/>
        <w:gridCol w:w="1886"/>
      </w:tblGrid>
      <w:tr>
        <w:tc>
          <w:tcPr>
            <w:tcW w:type="dxa" w:w="1846"/>
            <w:vAlign w:val="center"/>
          </w:tcPr>
          <w:p>
            <w:pPr>
              <w:spacing w:before="0" w:after="0" w:line="240" w:lineRule="auto"/>
              <w:rPr>
                <w:sz w:val="20"/>
                <w:szCs w:val="20"/>
              </w:rPr>
            </w:pPr>
            <w:r>
              <w:rPr>
                <w:b/>
                <w:sz w:val="20"/>
              </w:rPr>
              <w:t>xslope version</w:t>
            </w:r>
          </w:p>
        </w:tc>
        <w:tc>
          <w:tcPr>
            <w:tcW w:type="dxa" w:w="1886"/>
            <w:vAlign w:val="center"/>
          </w:tcPr>
          <w:p>
            <w:pPr>
              <w:spacing w:before="0" w:after="0" w:line="240" w:lineRule="auto"/>
              <w:rPr>
                <w:sz w:val="20"/>
                <w:szCs w:val="20"/>
              </w:rPr>
            </w:pPr>
            <w:r>
              <w:rPr>
                <w:b w:val="0"/>
                <w:sz w:val="20"/>
              </w:rPr>
              <w:t>0.3.0</w:t>
            </w:r>
          </w:p>
        </w:tc>
      </w:tr>
      <w:tr>
        <w:tc>
          <w:tcPr>
            <w:tcW w:type="dxa" w:w="1846"/>
            <w:vAlign w:val="center"/>
          </w:tcPr>
          <w:p>
            <w:pPr>
              <w:spacing w:before="0" w:after="0" w:line="240" w:lineRule="auto"/>
              <w:rPr>
                <w:sz w:val="20"/>
                <w:szCs w:val="20"/>
              </w:rPr>
            </w:pPr>
            <w:r>
              <w:rPr>
                <w:b/>
                <w:sz w:val="20"/>
              </w:rPr>
              <w:t>Input file</w:t>
            </w:r>
          </w:p>
        </w:tc>
        <w:tc>
          <w:tcPr>
            <w:tcW w:type="dxa" w:w="1886"/>
            <w:vAlign w:val="center"/>
          </w:tcPr>
          <w:p>
            <w:pPr>
              <w:spacing w:before="0" w:after="0" w:line="240" w:lineRule="auto"/>
              <w:rPr>
                <w:sz w:val="20"/>
                <w:szCs w:val="20"/>
              </w:rPr>
            </w:pPr>
            <w:r>
              <w:rPr>
                <w:b w:val="0"/>
                <w:sz w:val="20"/>
              </w:rPr>
              <w:t>not saved to a file</w:t>
            </w:r>
          </w:p>
        </w:tc>
      </w:tr>
      <w:tr>
        <w:tc>
          <w:tcPr>
            <w:tcW w:type="dxa" w:w="1846"/>
            <w:vAlign w:val="center"/>
          </w:tcPr>
          <w:p>
            <w:pPr>
              <w:spacing w:before="0" w:after="0" w:line="240" w:lineRule="auto"/>
              <w:rPr>
                <w:sz w:val="20"/>
                <w:szCs w:val="20"/>
              </w:rPr>
            </w:pPr>
            <w:r>
              <w:rPr>
                <w:b/>
                <w:sz w:val="20"/>
              </w:rPr>
              <w:t>Report generated</w:t>
            </w:r>
          </w:p>
        </w:tc>
        <w:tc>
          <w:tcPr>
            <w:tcW w:type="dxa" w:w="1886"/>
            <w:vAlign w:val="center"/>
          </w:tcPr>
          <w:p>
            <w:pPr>
              <w:spacing w:before="0" w:after="0" w:line="240" w:lineRule="auto"/>
              <w:rPr>
                <w:sz w:val="20"/>
                <w:szCs w:val="20"/>
              </w:rPr>
            </w:pPr>
            <w:r>
              <w:rPr>
                <w:b w:val="0"/>
                <w:sz w:val="20"/>
              </w:rPr>
              <w:t>2026-08-27 15:39</w:t>
            </w:r>
          </w:p>
        </w:tc>
      </w:tr>
    </w:tbl>
    <w:p/>
    <w:p>
      <w:pPr>
        <w:pStyle w:val="Heading1"/>
      </w:pPr>
      <w:bookmarkStart w:id="2" w:name="xslope_section_2"/>
      <w:r>
        <w:t>Project Definition</w:t>
      </w:r>
      <w:bookmarkEnd w:id="2"/>
    </w:p>
    <w:p>
      <w:pPr>
        <w:pStyle w:val="BodyText"/>
        <w:keepNext w:val="0"/>
      </w:pPr>
      <w:r>
        <w:t xml:space="preserve">The problem cross section is defined by 2 material zones described with profile lines. The zones are named </w:t>
      </w:r>
      <w:r>
        <w:rPr>
          <w:b/>
        </w:rPr>
        <w:t>shell</w:t>
      </w:r>
      <w:r>
        <w:t xml:space="preserve"> and </w:t>
      </w:r>
      <w:r>
        <w:rPr>
          <w:b/>
        </w:rPr>
        <w:t>base</w:t>
      </w:r>
      <w:r>
        <w:t xml:space="preserve">. The problem definition is displayed in </w:t>
      </w:r>
      <w:hyperlink w:anchor="xslope_figure_1">
        <w:r>
          <w:rPr>
            <w:color w:val="0563C1"/>
            <w:u w:val="single"/>
          </w:rPr>
          <w:t>Figure 1</w:t>
        </w:r>
      </w:hyperlink>
      <w:r>
        <w:t>, including the geometry, the material zones and the maximum depth line the zones are closed at.</w:t>
      </w:r>
    </w:p>
    <w:p>
      <w:pPr>
        <w:pStyle w:val="BodyText"/>
        <w:keepNext/>
      </w:pPr>
      <w:r>
        <w:t>All quantities are in US customary units: lengths in ft, stresses and pressures in psf, unit weights in pcf, and forces per unit thickness of section in lb/ft. Angles are in degrees. The analysis is two-dimensional: every force is per unit thickness normal to the section. The unit weight of water is 62.4 pcf.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2424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424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bookmarkStart w:id="3" w:name="xslope_figure_1"/>
      <w:r>
        <w:t>Figure 1. Analysis model, with each geometry point labeled with its coordinates</w:t>
      </w:r>
      <w:bookmarkEnd w:id="3"/>
    </w:p>
    <w:sectPr w:rsidR="00FC693F" w:rsidRPr="0006063C" w:rsidSect="00034616">
      <w:head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sz w:val="18"/>
      </w:rPr>
      <w:t xml:space="preserve"> of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sz w:val="18"/>
      </w:rPr>
      <w:t xml:space="preserve">     |     August 27,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sz w:val="18"/>
      </w:rPr>
      <w:fldChar w:fldCharType="begin"/>
    </w:r>
    <w:r>
      <w:rPr>
        <w:sz w:val="18"/>
      </w:rPr>
      <w:instrText xml:space="preserve"> DOCPROPERTY "Title" \* MERGEFORMAT </w:instrText>
    </w:r>
    <w:r>
      <w:rPr>
        <w:sz w:val="18"/>
      </w:rPr>
      <w:fldChar w:fldCharType="separate"/>
    </w:r>
    <w:r>
      <w:rPr>
        <w:sz w:val="18"/>
      </w:rPr>
      <w:t>Slope Stability Analysis</w:t>
    </w:r>
    <w:r>
      <w:rPr>
        <w:sz w:val="18"/>
      </w:rPr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right"/>
      </w:tabs>
      <w:jc w:val="left"/>
    </w:pPr>
    <w:r>
      <w:rPr>
        <w:sz w:val="18"/>
      </w:rPr>
      <w:fldChar w:fldCharType="begin"/>
    </w:r>
    <w:r>
      <w:rPr>
        <w:sz w:val="18"/>
      </w:rPr>
      <w:instrText xml:space="preserve"> DOCPROPERTY "Title" \* MERGEFORMAT </w:instrText>
    </w:r>
    <w:r>
      <w:rPr>
        <w:sz w:val="18"/>
      </w:rPr>
      <w:fldChar w:fldCharType="separate"/>
    </w:r>
    <w:r>
      <w:rPr>
        <w:sz w:val="18"/>
      </w:rPr>
      <w:t>Slope Stability Analysis</w:t>
    </w:r>
    <w:r>
      <w:rPr>
        <w:sz w:val="18"/>
      </w:rPr>
      <w:fldChar w:fldCharType="end"/>
    </w:r>
    <w:r>
      <w:rPr>
        <w:sz w:val="18"/>
      </w:rPr>
      <w:tab/>
    </w:r>
    <w:r>
      <w:rPr>
        <w:sz w:val="18"/>
      </w:rPr>
      <w:fldChar w:fldCharType="begin"/>
    </w:r>
    <w:r>
      <w:rPr>
        <w:sz w:val="18"/>
      </w:rPr>
      <w:instrText xml:space="preserve"> STYLEREF "Heading 1" \n </w:instrText>
    </w:r>
    <w:r>
      <w:rPr>
        <w:sz w:val="18"/>
      </w:rPr>
      <w:fldChar w:fldCharType="separate"/>
    </w:r>
    <w:r>
      <w:rPr>
        <w:sz w:val="18"/>
      </w:rPr>
    </w:r>
    <w:r>
      <w:rPr>
        <w:sz w:val="18"/>
      </w:rPr>
      <w:fldChar w:fldCharType="end"/>
    </w:r>
    <w:r>
      <w:rPr>
        <w:sz w:val="18"/>
      </w:rPr>
      <w:t xml:space="preserve"> </w:t>
    </w:r>
    <w:r>
      <w:rPr>
        <w:sz w:val="18"/>
      </w:rPr>
      <w:fldChar w:fldCharType="begin"/>
    </w:r>
    <w:r>
      <w:rPr>
        <w:sz w:val="18"/>
      </w:rPr>
      <w:instrText xml:space="preserve"> STYLEREF "Heading 1" </w:instrText>
    </w:r>
    <w:r>
      <w:rPr>
        <w:sz w:val="18"/>
      </w:rPr>
      <w:fldChar w:fldCharType="separate"/>
    </w:r>
    <w:r>
      <w:rPr>
        <w:sz w:val="18"/>
      </w:rPr>
    </w:r>
    <w:r>
      <w:rPr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0">
    <w:multiLevelType w:val="multilevel"/>
    <w:lvl w:ilvl="0">
      <w:start w:val="1"/>
      <w:numFmt w:val="decimal"/>
      <w:pStyle w:val="Heading1"/>
      <w:suff w:val="space"/>
      <w:lvlText w:val="%1"/>
      <w:lvlJc w:val="left"/>
      <w:pPr>
        <w:ind w:left="0" w:firstLine="0"/>
      </w:p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">
    <w:abstractNumId w:val="1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59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444444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444444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ilvl w:val="0"/>
        <w:numId w:val="100"/>
      </w:numPr>
      <w:spacing w:before="320" w:after="80"/>
      <w:outlineLvl w:val="0"/>
    </w:pPr>
    <w:rPr>
      <w:rFonts w:asciiTheme="majorHAnsi" w:eastAsiaTheme="majorEastAsia" w:hAnsiTheme="majorHAnsi" w:cstheme="majorBidi" w:ascii="Calibri" w:hAnsi="Calibri"/>
      <w:b/>
      <w:bCs/>
      <w:i w:val="0"/>
      <w:color w:val="1F3B5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numPr>
        <w:ilvl w:val="1"/>
        <w:numId w:val="100"/>
      </w:numPr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i w:val="0"/>
      <w:color w:val="1F3B5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numPr>
        <w:ilvl w:val="2"/>
        <w:numId w:val="100"/>
      </w:numPr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F3B5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6" w:color="1F3B57"/>
      </w:pBdr>
      <w:spacing w:after="200" w:line="240" w:lineRule="auto" w:before="40"/>
      <w:contextualSpacing/>
      <w:jc w:val="left"/>
    </w:pPr>
    <w:rPr>
      <w:rFonts w:asciiTheme="majorHAnsi" w:eastAsiaTheme="majorEastAsia" w:hAnsiTheme="majorHAnsi" w:cstheme="majorBidi" w:ascii="Calibri" w:hAnsi="Calibri"/>
      <w:b/>
      <w:color w:val="1F3B5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480"/>
      <w:jc w:val="left"/>
    </w:pPr>
    <w:rPr>
      <w:rFonts w:asciiTheme="majorHAnsi" w:eastAsiaTheme="majorEastAsia" w:hAnsiTheme="majorHAnsi" w:cstheme="majorBidi" w:ascii="Calibri" w:hAnsi="Calibri"/>
      <w:b w:val="0"/>
      <w:i w:val="0"/>
      <w:iCs/>
      <w:color w:val="444444"/>
      <w:spacing w:val="15"/>
      <w:sz w:val="2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60" w:line="259" w:lineRule="auto"/>
    </w:pPr>
    <w:rPr>
      <w:rFonts w:ascii="Calibri" w:hAnsi="Calibri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40" w:lineRule="auto" w:before="80" w:after="160"/>
    </w:pPr>
    <w:rPr>
      <w:rFonts w:ascii="Calibri" w:hAnsi="Calibri"/>
      <w:b w:val="0"/>
      <w:bCs/>
      <w:i/>
      <w:color w:val="333333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pPr>
      <w:spacing w:after="40"/>
      <w:ind w:left="0"/>
    </w:pPr>
    <w:rPr>
      <w:rFonts w:ascii="Calibri" w:hAnsi="Calibri"/>
      <w:b/>
      <w:sz w:val="21"/>
    </w:rPr>
  </w:style>
  <w:style w:type="paragraph" w:styleId="TOC2">
    <w:name w:val="toc 2"/>
    <w:pPr>
      <w:spacing w:after="40"/>
      <w:ind w:left="220"/>
    </w:pPr>
    <w:rPr>
      <w:rFonts w:ascii="Calibri" w:hAnsi="Calibri"/>
      <w:b w:val="0"/>
      <w:sz w:val="21"/>
    </w:rPr>
  </w:style>
  <w:style w:type="paragraph" w:styleId="TOC3">
    <w:name w:val="toc 3"/>
    <w:pPr>
      <w:spacing w:after="40"/>
      <w:ind w:left="440"/>
    </w:pPr>
    <w:rPr>
      <w:rFonts w:ascii="Calibri" w:hAnsi="Calibri"/>
      <w:b w:val="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Slope Stability Analysis</dc:title>
  <dc:subject/>
  <dc:creator>python-docx</dc:creator>
  <cp:keywords/>
  <dc:description>Generated by xslope.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