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</w:tblPr>
    <w:tblGrid>
      <w:gridCol w:w="9360"/>
    </w:tblGrid>
    <w:tr>
      <w:tc>
        <w:tcPr>
          <w:tcW w:type="dxa" w:w="9360"/>
        </w:tcPr>
        <w:p>
          <w:pPr>
            <w:jc w:val="center"/>
          </w:pPr>
          <w:r>
            <w:rPr>
              <w:color w:val="606060"/>
              <w:sz w:val="16"/>
            </w:rPr>
            <w:t>ACME Geotechnical · Slope stability report</w:t>
          </w:r>
        </w:p>
      </w:tc>
    </w:tr>
  </w:tbl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</w:tblPr>
    <w:tblGrid>
      <w:gridCol w:w="9360"/>
    </w:tblGrid>
    <w:tr>
      <w:tc>
        <w:tcPr>
          <w:tcW w:type="dxa" w:w="9360"/>
        </w:tcPr>
        <w:p>
          <w:pPr>
            <w:jc w:val="right"/>
          </w:pPr>
          <w:r>
            <w:rPr>
              <w:color w:val="1F497D"/>
              <w:sz w:val="18"/>
            </w:rPr>
            <w:t>ACME Geotechnical, Inc.</w:t>
          </w:r>
        </w:p>
      </w:tc>
    </w:tr>
  </w:tbl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59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444444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444444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F3B5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F3B5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F3B5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6" w:color="1F3B57"/>
      </w:pBdr>
      <w:spacing w:after="200" w:line="240" w:lineRule="auto" w:before="40"/>
      <w:contextualSpacing/>
      <w:jc w:val="left"/>
    </w:pPr>
    <w:rPr>
      <w:rFonts w:asciiTheme="majorHAnsi" w:eastAsiaTheme="majorEastAsia" w:hAnsiTheme="majorHAnsi" w:cstheme="majorBidi" w:ascii="Calibri" w:hAnsi="Calibri"/>
      <w:b/>
      <w:color w:val="1F3B5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80"/>
      <w:jc w:val="left"/>
    </w:pPr>
    <w:rPr>
      <w:rFonts w:asciiTheme="majorHAnsi" w:eastAsiaTheme="majorEastAsia" w:hAnsiTheme="majorHAnsi" w:cstheme="majorBidi" w:ascii="Calibri" w:hAnsi="Calibri"/>
      <w:b w:val="0"/>
      <w:i w:val="0"/>
      <w:iCs/>
      <w:color w:val="444444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60" w:line="259" w:lineRule="auto"/>
    </w:pPr>
    <w:rPr>
      <w:rFonts w:ascii="Calibri" w:hAnsi="Calibri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80" w:after="160"/>
    </w:pPr>
    <w:rPr>
      <w:rFonts w:ascii="Calibri" w:hAnsi="Calibri"/>
      <w:b w:val="0"/>
      <w:bCs/>
      <w:i/>
      <w:color w:val="33333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pPr>
      <w:spacing w:after="40"/>
      <w:ind w:left="0"/>
    </w:pPr>
    <w:rPr>
      <w:rFonts w:ascii="Calibri" w:hAnsi="Calibri"/>
      <w:b/>
      <w:sz w:val="21"/>
    </w:rPr>
  </w:style>
  <w:style w:type="paragraph" w:styleId="TOC2">
    <w:name w:val="toc 2"/>
    <w:pPr>
      <w:spacing w:after="40"/>
      <w:ind w:left="220"/>
    </w:pPr>
    <w:rPr>
      <w:rFonts w:ascii="Calibri" w:hAnsi="Calibri"/>
      <w:b w:val="0"/>
      <w:sz w:val="21"/>
    </w:rPr>
  </w:style>
  <w:style w:type="paragraph" w:styleId="TOC3">
    <w:name w:val="toc 3"/>
    <w:pPr>
      <w:spacing w:after="40"/>
      <w:ind w:left="440"/>
    </w:pPr>
    <w:rPr>
      <w:rFonts w:ascii="Calibri" w:hAnsi="Calibri"/>
      <w:b w:val="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