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38.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Nathaniel</w:t>
      </w:r>
      <w:r>
        <w:t xml:space="preserve"> </w:t>
      </w:r>
      <w:r>
        <w:t xml:space="preserve">Jones</w:t>
      </w:r>
    </w:p>
    <w:bookmarkStart w:id="20" w:name="section"/>
    <w:p>
      <w:pPr>
        <w:pStyle w:val="Heading1"/>
      </w:pPr>
      <w:r>
        <w:rPr>
          <w:rFonts w:ascii="Arial" w:hAnsi="Arial" w:eastAsia="Arial" w:cs="Arial"/>
          <w:i w:val="false"/>
          <w:b w:val="true"/>
          <w:u w:val="none"/>
          <w:sz w:val="20"/>
          <w:szCs w:val="20"/>
          <w:color w:val="7A378B"/>
        </w:rPr>
        <w:t xml:space="preserve">Table of Contents</w:t>
      </w:r>
    </w:p>
    <w:p>
      <w:pPr>
        <w:pStyle w:val="FirstParagraph"/>
      </w:pPr>
      <w:r>
        <w:t xml:space="preserve">EXECUTIVE SUMMARY (Pg. 1-3)</w:t>
      </w:r>
      <w:r>
        <w:br/>
      </w:r>
      <w:r>
        <w:t xml:space="preserve">-</w:t>
      </w:r>
      <w:r>
        <w:t xml:space="preserve"> </w:t>
      </w:r>
      <w:r>
        <w:rPr>
          <w:bCs/>
          <w:b/>
        </w:rPr>
        <w:t xml:space="preserve">Hypothesis</w:t>
      </w:r>
      <w:r>
        <w:br/>
      </w:r>
      <w:r>
        <w:t xml:space="preserve">-</w:t>
      </w:r>
      <w:r>
        <w:t xml:space="preserve"> </w:t>
      </w:r>
      <w:r>
        <w:rPr>
          <w:bCs/>
          <w:b/>
        </w:rPr>
        <w:t xml:space="preserve">Summary of Findings</w:t>
      </w:r>
      <w:r>
        <w:br/>
      </w:r>
      <w:r>
        <w:t xml:space="preserve">-</w:t>
      </w:r>
      <w:r>
        <w:t xml:space="preserve"> </w:t>
      </w:r>
      <w:r>
        <w:rPr>
          <w:bCs/>
          <w:b/>
        </w:rPr>
        <w:t xml:space="preserve">Actionable Items</w:t>
      </w:r>
    </w:p>
    <w:bookmarkEnd w:id="20"/>
    <w:bookmarkStart w:id="21" w:name="section-1"/>
    <w:p>
      <w:pPr>
        <w:pStyle w:val="Heading1"/>
      </w:pPr>
      <w:r>
        <w:rPr>
          <w:rFonts w:ascii="Arial" w:hAnsi="Arial" w:eastAsia="Arial" w:cs="Arial"/>
          <w:i w:val="false"/>
          <w:b w:val="true"/>
          <w:u w:val="none"/>
          <w:sz w:val="20"/>
          <w:szCs w:val="20"/>
          <w:color w:val="7A378B"/>
        </w:rPr>
        <w:t xml:space="preserve">Appendix</w:t>
      </w:r>
    </w:p>
    <w:p>
      <w:pPr>
        <w:numPr>
          <w:ilvl w:val="0"/>
          <w:numId w:val="1001"/>
        </w:numPr>
        <w:pStyle w:val="Compact"/>
      </w:pPr>
      <w:r>
        <w:t xml:space="preserve">DATA MANIPULATION (Pg. 4)</w:t>
      </w:r>
    </w:p>
    <w:p>
      <w:pPr>
        <w:numPr>
          <w:ilvl w:val="0"/>
          <w:numId w:val="1001"/>
        </w:numPr>
        <w:pStyle w:val="Compact"/>
      </w:pPr>
      <w:r>
        <w:t xml:space="preserve">ARE THE VARIANCES EQUAL? (Pg. 4)</w:t>
      </w:r>
    </w:p>
    <w:p>
      <w:pPr>
        <w:numPr>
          <w:ilvl w:val="0"/>
          <w:numId w:val="1001"/>
        </w:numPr>
        <w:pStyle w:val="Compact"/>
      </w:pPr>
      <w:r>
        <w:t xml:space="preserve">DO THE K-LEVELS FOLLOW A NORMAL DISTRIBUTION? (Pg. 5-7)</w:t>
      </w:r>
    </w:p>
    <w:p>
      <w:pPr>
        <w:numPr>
          <w:ilvl w:val="0"/>
          <w:numId w:val="1001"/>
        </w:numPr>
        <w:pStyle w:val="Compact"/>
      </w:pPr>
      <w:r>
        <w:t xml:space="preserve">NONPARAMETRIC TEST: K-Sample Permutation (Pg. 8)</w:t>
      </w:r>
    </w:p>
    <w:p>
      <w:pPr>
        <w:numPr>
          <w:ilvl w:val="0"/>
          <w:numId w:val="1001"/>
        </w:numPr>
        <w:pStyle w:val="Compact"/>
      </w:pPr>
      <w:r>
        <w:t xml:space="preserve">POST-HOC PROCEDURES (Pg. 8-9)</w:t>
      </w:r>
    </w:p>
    <w:bookmarkEnd w:id="21"/>
    <w:bookmarkStart w:id="24" w:name="section-2"/>
    <w:p>
      <w:pPr>
        <w:pStyle w:val="Heading1"/>
      </w:pPr>
      <w:r>
        <w:rPr>
          <w:rFonts w:ascii="Arial" w:hAnsi="Arial" w:eastAsia="Arial" w:cs="Arial"/>
          <w:i w:val="false"/>
          <w:b w:val="true"/>
          <w:u w:val="none"/>
          <w:sz w:val="20"/>
          <w:szCs w:val="20"/>
          <w:color w:val="7A378B"/>
        </w:rPr>
        <w:t xml:space="preserve">EXECUTIVE SUMMARY</w:t>
      </w:r>
    </w:p>
    <w:p>
      <w:pPr>
        <w:pStyle w:val="FirstParagraph"/>
      </w:pPr>
      <w:r>
        <w:rPr>
          <w:bCs/>
          <w:b/>
        </w:rPr>
        <w:t xml:space="preserve">Hypothesis:</w:t>
      </w:r>
      <w:r>
        <w:t xml:space="preserve"> </w:t>
      </w:r>
      <w:r>
        <w:t xml:space="preserve">Is there a relationship between loan default rate and graduation rate quartiles?"</w:t>
      </w:r>
    </w:p>
    <w:p>
      <w:pPr>
        <w:pStyle w:val="BodyText"/>
      </w:pPr>
      <w:r>
        <w:rPr>
          <w:bCs/>
          <w:b/>
        </w:rPr>
        <w:t xml:space="preserve">Summary of Findings:</w:t>
      </w:r>
    </w:p>
    <w:p>
      <w:pPr>
        <w:pStyle w:val="BodyText"/>
      </w:pPr>
      <w:r>
        <w:t xml:space="preserve">For post-secondary institutions, the</w:t>
      </w:r>
      <w:r>
        <w:t xml:space="preserve"> </w:t>
      </w:r>
      <w:r>
        <w:t xml:space="preserve">“</w:t>
      </w:r>
      <w:r>
        <w:t xml:space="preserve">average</w:t>
      </w:r>
      <w:r>
        <w:t xml:space="preserve">”</w:t>
      </w:r>
      <w:r>
        <w:t xml:space="preserve"> </w:t>
      </w:r>
      <w:r>
        <w:t xml:space="preserve">default rate for students who default within 2-years was calculated for the four-year graduation rate quartiles:</w:t>
      </w:r>
    </w:p>
    <w:p>
      <w:pPr>
        <w:numPr>
          <w:ilvl w:val="0"/>
          <w:numId w:val="1002"/>
        </w:numPr>
        <w:pStyle w:val="Compact"/>
      </w:pPr>
      <w:r>
        <w:t xml:space="preserve">less than or equal to 25% (Q1),</w:t>
      </w:r>
    </w:p>
    <w:p>
      <w:pPr>
        <w:numPr>
          <w:ilvl w:val="0"/>
          <w:numId w:val="1002"/>
        </w:numPr>
        <w:pStyle w:val="Compact"/>
      </w:pPr>
      <w:r>
        <w:t xml:space="preserve">greater than 25% to 50% (Q2),</w:t>
      </w:r>
    </w:p>
    <w:p>
      <w:pPr>
        <w:numPr>
          <w:ilvl w:val="0"/>
          <w:numId w:val="1002"/>
        </w:numPr>
        <w:pStyle w:val="Compact"/>
      </w:pPr>
      <w:r>
        <w:t xml:space="preserve">greater than 50% to 75% (Q3), and</w:t>
      </w:r>
    </w:p>
    <w:p>
      <w:pPr>
        <w:numPr>
          <w:ilvl w:val="0"/>
          <w:numId w:val="1002"/>
        </w:numPr>
        <w:pStyle w:val="Compact"/>
      </w:pPr>
      <w:r>
        <w:t xml:space="preserve">over 75% (Q4).</w:t>
      </w:r>
    </w:p>
    <w:p>
      <w:pPr>
        <w:pStyle w:val="FirstParagraph"/>
      </w:pPr>
      <w:r>
        <w:t xml:space="preserve">The nonparametric K-sample permutation test was used to detect difference between the graduation rate quartiles for the reason that the data displayed evidence of skewness and did not display evidence suggesting that it was normally distributed. There is a significant difference in the default rates for all four quartiles except the third and fourth quartiles.</w:t>
      </w:r>
    </w:p>
    <w:p>
      <w:r>
        <w:br w:type="page"/>
      </w:r>
    </w:p>
    <w:p>
      <w:pPr>
        <w:pStyle w:val="BodyText"/>
      </w:pPr>
      <w:r>
        <w:rPr>
          <w:bCs/>
          <w:b/>
        </w:rPr>
        <w:t xml:space="preserve">Actionable items:</w:t>
      </w:r>
    </w:p>
    <w:p>
      <w:pPr>
        <w:numPr>
          <w:ilvl w:val="0"/>
          <w:numId w:val="1003"/>
        </w:numPr>
        <w:pStyle w:val="Compact"/>
      </w:pPr>
      <w:r>
        <w:t xml:space="preserve">The median 2-year default rate for undergraduates from institutions with higher graduation rates (Q3 and Q4) is about 5% for both quartiles.</w:t>
      </w:r>
    </w:p>
    <w:p>
      <w:pPr>
        <w:numPr>
          <w:ilvl w:val="0"/>
          <w:numId w:val="1003"/>
        </w:numPr>
        <w:pStyle w:val="Compact"/>
      </w:pPr>
      <w:r>
        <w:t xml:space="preserve">In comparison, the median default rates for institutions with low graduation rates (Q1 and Q2) were 13% and 11%, respectively.</w:t>
      </w:r>
    </w:p>
    <w:p>
      <w:pPr>
        <w:numPr>
          <w:ilvl w:val="0"/>
          <w:numId w:val="1003"/>
        </w:numPr>
        <w:pStyle w:val="Compact"/>
      </w:pPr>
      <w:r>
        <w:t xml:space="preserve">Thus, institutions who graduate more than 50% of their students tend to have significantly lower loan default rates.</w:t>
      </w:r>
    </w:p>
    <w:p>
      <w:pPr>
        <w:numPr>
          <w:ilvl w:val="0"/>
          <w:numId w:val="1003"/>
        </w:numPr>
        <w:pStyle w:val="Compact"/>
      </w:pPr>
      <w:r>
        <w:t xml:space="preserve">However, the default rate does not decrease for institutions that graduate more than 75% of their undergraduates.</w:t>
      </w:r>
    </w:p>
    <w:p>
      <w:pPr>
        <w:numPr>
          <w:ilvl w:val="0"/>
          <w:numId w:val="1003"/>
        </w:numPr>
        <w:pStyle w:val="Compact"/>
      </w:pPr>
      <w:r>
        <w:t xml:space="preserve">Notably, we see that the institutions in Q3 and Q4 are more skewed to the left side of the plot than institutions in Q1 and Q2.</w:t>
      </w:r>
    </w:p>
    <w:p>
      <w:pPr>
        <w:pStyle w:val="FirstParagraph"/>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Histogram-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p>
      <w:pPr>
        <w:numPr>
          <w:ilvl w:val="0"/>
          <w:numId w:val="1004"/>
        </w:numPr>
        <w:pStyle w:val="Compact"/>
      </w:pPr>
      <w:r>
        <w:t xml:space="preserve">Although Q3 and Q4 have similar medians, the default loan rates are more variable for the institutions with graduation rates greater than 75% (Q4).</w:t>
      </w:r>
    </w:p>
    <w:p>
      <w:pPr>
        <w:numPr>
          <w:ilvl w:val="0"/>
          <w:numId w:val="1004"/>
        </w:numPr>
        <w:pStyle w:val="Compact"/>
      </w:pPr>
      <w:r>
        <w:t xml:space="preserve">In fact, Q4 institutions had a standard deviation of loan default rates of 5.87% while Q3 had a standard deviation of 4.34%.</w:t>
      </w:r>
    </w:p>
    <w:p>
      <w:pPr>
        <w:numPr>
          <w:ilvl w:val="0"/>
          <w:numId w:val="1004"/>
        </w:numPr>
        <w:pStyle w:val="Compact"/>
      </w:pPr>
      <w:r>
        <w:t xml:space="preserve">This suggests that institutions that achieve the highest possible graduation rate may not inherently yield the lowest possible 2-year loan default rate.</w:t>
      </w:r>
    </w:p>
    <w:p>
      <w:pPr>
        <w:pStyle w:val="FirstParagraph"/>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Boxplot-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End w:id="24"/>
    <w:bookmarkStart w:id="41" w:name="section-3"/>
    <w:p>
      <w:pPr>
        <w:pStyle w:val="Heading1"/>
      </w:pPr>
      <w:r>
        <w:rPr>
          <w:rFonts w:ascii="Arial" w:hAnsi="Arial" w:eastAsia="Arial" w:cs="Arial"/>
          <w:i w:val="false"/>
          <w:b w:val="true"/>
          <w:u w:val="none"/>
          <w:sz w:val="20"/>
          <w:szCs w:val="20"/>
          <w:color w:val="7A378B"/>
        </w:rPr>
        <w:t xml:space="preserve">APPENDIX</w:t>
      </w:r>
    </w:p>
    <w:bookmarkStart w:id="27" w:name="section-4"/>
    <w:p>
      <w:pPr>
        <w:pStyle w:val="Heading3"/>
      </w:pPr>
      <w:r>
        <w:rPr>
          <w:rFonts w:ascii="Arial" w:hAnsi="Arial" w:eastAsia="Arial" w:cs="Arial"/>
          <w:i w:val="false"/>
          <w:b w:val="true"/>
          <w:u w:val="none"/>
          <w:sz w:val="20"/>
          <w:szCs w:val="20"/>
          <w:color w:val="7A378B"/>
        </w:rPr>
        <w:t xml:space="preserve">A. DATA MANIPULATION</w:t>
      </w:r>
    </w:p>
    <w:p>
      <w:pPr>
        <w:pStyle w:val="FirstParagraph"/>
      </w:pPr>
      <w:r>
        <w:t xml:space="preserve">There were 2,789 observations analyzed in this report. The variables used are defined as:</w:t>
      </w:r>
    </w:p>
    <w:tbl>
      <w:tblPr>
        <w:tblStyle w:val="Table"/>
        <w:tblW w:type="pct" w:w="5000.0"/>
        <w:tblLook w:firstRow="1" w:lastRow="0" w:firstColumn="0" w:lastColumn="0" w:noHBand="0" w:noVBand="0" w:val="0020"/>
      </w:tblPr>
      <w:tblGrid>
        <w:gridCol w:w="1537"/>
        <w:gridCol w:w="6382"/>
      </w:tblGrid>
      <w:tr>
        <w:tc>
          <w:p>
            <w:pPr>
              <w:pStyle w:val="Compact"/>
              <w:jc w:val="left"/>
            </w:pPr>
            <w:r>
              <w:t xml:space="preserve">Variable label</w:t>
            </w:r>
          </w:p>
        </w:tc>
        <w:tc>
          <w:p>
            <w:pPr>
              <w:pStyle w:val="Compact"/>
              <w:jc w:val="left"/>
            </w:pPr>
            <w:r>
              <w:t xml:space="preserve">Definition</w:t>
            </w:r>
          </w:p>
        </w:tc>
      </w:tr>
      <w:tr>
        <w:tc>
          <w:p>
            <w:pPr>
              <w:pStyle w:val="Compact"/>
              <w:jc w:val="left"/>
            </w:pPr>
            <w:r>
              <w:t xml:space="preserve">BBRR2_FED_UG_DFLT</w:t>
            </w:r>
          </w:p>
        </w:tc>
        <w:tc>
          <w:p>
            <w:pPr>
              <w:pStyle w:val="Compact"/>
              <w:jc w:val="left"/>
            </w:pPr>
            <w:r>
              <w:t xml:space="preserve">The percent of undergraduates that default on their federal loan within 2-years.</w:t>
            </w:r>
          </w:p>
        </w:tc>
      </w:tr>
      <w:tr>
        <w:tc>
          <w:p>
            <w:pPr>
              <w:pStyle w:val="Compact"/>
              <w:jc w:val="left"/>
            </w:pPr>
            <w:r>
              <w:t xml:space="preserve">OMAWDP8_ALL</w:t>
            </w:r>
          </w:p>
        </w:tc>
        <w:tc>
          <w:p>
            <w:pPr>
              <w:pStyle w:val="Compact"/>
              <w:jc w:val="left"/>
            </w:pPr>
            <w:r>
              <w:t xml:space="preserve">The percent of undergraduates that graduated within 8-years.</w:t>
            </w:r>
          </w:p>
        </w:tc>
      </w:tr>
    </w:tbl>
    <w:p>
      <w:pPr>
        <w:pStyle w:val="BodyText"/>
      </w:pPr>
      <w:r>
        <w:t xml:space="preserve">A categorical variable was created by splitting the percent of undergraduate students that graduate from a post-secondary institution within 8 years into four equal-sized bins. These bins ranged from 0% to 25%, greater than 25% to 50%, greater than 50% to 75%, and greater than 75%. They were then given the labels Quartile 1 (Q1), Quartile 2 (Q2), Quartile 3 (Q3), and Quartile 4 (Q4), respectively.</w:t>
      </w:r>
    </w:p>
    <w:bookmarkStart w:id="25" w:name="section-5"/>
    <w:p>
      <w:pPr>
        <w:pStyle w:val="Heading5"/>
      </w:pPr>
    </w:p>
    <w:tbl>
      <w:tblPr>
        <w:tblStyle w:val="Table"/>
        <w:tblW w:type="pct" w:w="5000.0"/>
        <w:tblLook w:firstRow="1" w:lastRow="0" w:firstColumn="0" w:lastColumn="0" w:noHBand="0" w:noVBand="0" w:val="0020"/>
      </w:tblPr>
      <w:tblGrid>
        <w:gridCol w:w="1473"/>
        <w:gridCol w:w="1565"/>
        <w:gridCol w:w="1657"/>
        <w:gridCol w:w="1565"/>
        <w:gridCol w:w="1657"/>
      </w:tblGrid>
      <w:tr>
        <w:tc>
          <w:p/>
        </w:tc>
        <w:tc>
          <w:p>
            <w:pPr>
              <w:pStyle w:val="Compact"/>
              <w:jc w:val="left"/>
            </w:pPr>
            <w:r>
              <w:t xml:space="preserve">Quartile 1</w:t>
            </w:r>
          </w:p>
        </w:tc>
        <w:tc>
          <w:p>
            <w:pPr>
              <w:pStyle w:val="Compact"/>
              <w:jc w:val="left"/>
            </w:pPr>
            <w:r>
              <w:t xml:space="preserve">Quartile 2</w:t>
            </w:r>
          </w:p>
        </w:tc>
        <w:tc>
          <w:p>
            <w:pPr>
              <w:pStyle w:val="Compact"/>
              <w:jc w:val="left"/>
            </w:pPr>
            <w:r>
              <w:t xml:space="preserve">Quartile 3</w:t>
            </w:r>
          </w:p>
        </w:tc>
        <w:tc>
          <w:p>
            <w:pPr>
              <w:pStyle w:val="Compact"/>
              <w:jc w:val="left"/>
            </w:pPr>
            <w:r>
              <w:t xml:space="preserve">Quartile 4</w:t>
            </w:r>
          </w:p>
        </w:tc>
      </w:tr>
      <w:tr>
        <w:tc>
          <w:p>
            <w:pPr>
              <w:pStyle w:val="Compact"/>
              <w:jc w:val="left"/>
            </w:pPr>
            <w:r>
              <w:t xml:space="preserve">Percent range</w:t>
            </w:r>
          </w:p>
        </w:tc>
        <w:tc>
          <w:p>
            <w:pPr>
              <w:pStyle w:val="Compact"/>
              <w:jc w:val="left"/>
            </w:pPr>
            <w:r>
              <w:t xml:space="preserve">0% &lt;= x &lt;= 25%</w:t>
            </w:r>
          </w:p>
        </w:tc>
        <w:tc>
          <w:p>
            <w:pPr>
              <w:pStyle w:val="Compact"/>
              <w:jc w:val="left"/>
            </w:pPr>
            <w:r>
              <w:t xml:space="preserve">25% &lt; x &lt;= 50%</w:t>
            </w:r>
          </w:p>
        </w:tc>
        <w:tc>
          <w:p>
            <w:pPr>
              <w:pStyle w:val="Compact"/>
              <w:jc w:val="left"/>
            </w:pPr>
            <w:r>
              <w:t xml:space="preserve">50% &lt; x &lt;= 75%</w:t>
            </w:r>
          </w:p>
        </w:tc>
        <w:tc>
          <w:p>
            <w:pPr>
              <w:pStyle w:val="Compact"/>
              <w:jc w:val="left"/>
            </w:pPr>
            <w:r>
              <w:t xml:space="preserve">75% &lt; x &lt;= 100%</w:t>
            </w:r>
          </w:p>
        </w:tc>
      </w:tr>
    </w:tbl>
    <w:bookmarkEnd w:id="25"/>
    <w:bookmarkStart w:id="26" w:name="section-6"/>
    <w:p>
      <w:pPr>
        <w:pStyle w:val="Heading5"/>
      </w:pPr>
    </w:p>
    <w:bookmarkEnd w:id="26"/>
    <w:bookmarkEnd w:id="27"/>
    <w:bookmarkStart w:id="29" w:name="section-7"/>
    <w:p>
      <w:pPr>
        <w:pStyle w:val="Heading2"/>
      </w:pPr>
      <w:r>
        <w:rPr>
          <w:rFonts w:ascii="Arial" w:hAnsi="Arial" w:eastAsia="Arial" w:cs="Arial"/>
          <w:i w:val="false"/>
          <w:b w:val="true"/>
          <w:u w:val="none"/>
          <w:sz w:val="20"/>
          <w:szCs w:val="20"/>
          <w:color w:val="7A378B"/>
        </w:rPr>
        <w:t xml:space="preserve">B. ARE THE VARIANCES EQUAL?</w:t>
      </w:r>
    </w:p>
    <w:p>
      <w:pPr>
        <w:pStyle w:val="FirstParagraph"/>
      </w:pPr>
      <w:r>
        <w:t xml:space="preserve">The variance among the four quartiles is approximately equal. Table 1 displays the standard deviation for each of the 4 quartiles. The largest standard deviation (Q4, 0.5872) is only 1.42 times larger than the smallest standard deviation (Q1, 0.4136).</w:t>
      </w:r>
    </w:p>
    <w:p>
      <w:pPr>
        <w:pStyle w:val="BodyText"/>
      </w:pPr>
      <w:r>
        <w:t xml:space="preserve">Since the cutoff point for considering the variance to be approximately equal is 2, our data has NOT violated the assumption of equal variance.</w:t>
      </w:r>
    </w:p>
    <w:p>
      <w:r>
        <w:br w:type="page"/>
      </w:r>
    </w:p>
    <w:p>
      <w:pPr>
        <w:pStyle w:val="TableCaption"/>
      </w:pPr>
      <w:r>
        <w:t xml:space="preserve">Table 1: Standard Deviations</w:t>
      </w:r>
    </w:p>
    <w:tbl>
      <w:tblPr>
        <w:tblStyle w:val="Table"/>
        <w:tblW w:type="pct" w:w="5000.0"/>
        <w:tblLook w:firstRow="1" w:lastRow="0" w:firstColumn="0" w:lastColumn="0" w:noHBand="0" w:noVBand="0" w:val="0020"/>
        <w:tblCaption w:val="Table 1: Standard Deviations"/>
      </w:tblPr>
      <w:tblGrid>
        <w:gridCol w:w="1473"/>
        <w:gridCol w:w="1565"/>
        <w:gridCol w:w="1657"/>
        <w:gridCol w:w="1565"/>
        <w:gridCol w:w="1657"/>
      </w:tblGrid>
      <w:tr>
        <w:tc>
          <w:p/>
        </w:tc>
        <w:tc>
          <w:p>
            <w:pPr>
              <w:pStyle w:val="Compact"/>
              <w:jc w:val="left"/>
            </w:pPr>
            <w:r>
              <w:t xml:space="preserve">Quartile 1</w:t>
            </w:r>
          </w:p>
        </w:tc>
        <w:tc>
          <w:p>
            <w:pPr>
              <w:pStyle w:val="Compact"/>
              <w:jc w:val="left"/>
            </w:pPr>
            <w:r>
              <w:t xml:space="preserve">Quartile 2</w:t>
            </w:r>
          </w:p>
        </w:tc>
        <w:tc>
          <w:p>
            <w:pPr>
              <w:pStyle w:val="Compact"/>
              <w:jc w:val="left"/>
            </w:pPr>
            <w:r>
              <w:t xml:space="preserve">Quartile 3</w:t>
            </w:r>
          </w:p>
        </w:tc>
        <w:tc>
          <w:p>
            <w:pPr>
              <w:pStyle w:val="Compact"/>
              <w:jc w:val="left"/>
            </w:pPr>
            <w:r>
              <w:t xml:space="preserve">Quartile 4</w:t>
            </w:r>
          </w:p>
        </w:tc>
      </w:tr>
      <w:tr>
        <w:tc>
          <w:p>
            <w:pPr>
              <w:pStyle w:val="Compact"/>
              <w:jc w:val="left"/>
            </w:pPr>
            <w:r>
              <w:t xml:space="preserve">Percent range</w:t>
            </w:r>
          </w:p>
        </w:tc>
        <w:tc>
          <w:p>
            <w:pPr>
              <w:pStyle w:val="Compact"/>
              <w:jc w:val="left"/>
            </w:pPr>
            <w:r>
              <w:t xml:space="preserve">0% &lt;= x &lt;= 25%</w:t>
            </w:r>
          </w:p>
        </w:tc>
        <w:tc>
          <w:p>
            <w:pPr>
              <w:pStyle w:val="Compact"/>
              <w:jc w:val="left"/>
            </w:pPr>
            <w:r>
              <w:t xml:space="preserve">25% &lt; x &lt;= 50%</w:t>
            </w:r>
          </w:p>
        </w:tc>
        <w:tc>
          <w:p>
            <w:pPr>
              <w:pStyle w:val="Compact"/>
              <w:jc w:val="left"/>
            </w:pPr>
            <w:r>
              <w:t xml:space="preserve">50% &lt; x &lt;= 75%</w:t>
            </w:r>
          </w:p>
        </w:tc>
        <w:tc>
          <w:p>
            <w:pPr>
              <w:pStyle w:val="Compact"/>
              <w:jc w:val="left"/>
            </w:pPr>
            <w:r>
              <w:t xml:space="preserve">75% &lt; x &lt;= 100%</w:t>
            </w:r>
          </w:p>
        </w:tc>
      </w:tr>
      <w:tr>
        <w:tc>
          <w:p>
            <w:pPr>
              <w:pStyle w:val="Compact"/>
              <w:jc w:val="left"/>
            </w:pPr>
            <w:r>
              <w:t xml:space="preserve">Default Rate</w:t>
            </w:r>
          </w:p>
        </w:tc>
        <w:tc>
          <w:p>
            <w:pPr>
              <w:pStyle w:val="Compact"/>
              <w:jc w:val="left"/>
            </w:pPr>
            <w:r>
              <w:t xml:space="preserve">0.04136</w:t>
            </w:r>
          </w:p>
        </w:tc>
        <w:tc>
          <w:p>
            <w:pPr>
              <w:pStyle w:val="Compact"/>
              <w:jc w:val="left"/>
            </w:pPr>
            <w:r>
              <w:t xml:space="preserve">0.04557</w:t>
            </w:r>
          </w:p>
        </w:tc>
        <w:tc>
          <w:p>
            <w:pPr>
              <w:pStyle w:val="Compact"/>
              <w:jc w:val="left"/>
            </w:pPr>
            <w:r>
              <w:t xml:space="preserve">0.04341</w:t>
            </w:r>
          </w:p>
        </w:tc>
        <w:tc>
          <w:p>
            <w:pPr>
              <w:pStyle w:val="Compact"/>
              <w:jc w:val="left"/>
            </w:pPr>
            <w:r>
              <w:t xml:space="preserve">0.05872</w:t>
            </w:r>
          </w:p>
        </w:tc>
      </w:tr>
    </w:tbl>
    <w:bookmarkStart w:id="28" w:name="section-8"/>
    <w:p>
      <w:pPr>
        <w:pStyle w:val="Heading5"/>
      </w:pPr>
    </w:p>
    <w:bookmarkEnd w:id="28"/>
    <w:bookmarkEnd w:id="29"/>
    <w:bookmarkStart w:id="35" w:name="section-9"/>
    <w:p>
      <w:pPr>
        <w:pStyle w:val="Heading2"/>
      </w:pPr>
      <w:r>
        <w:rPr>
          <w:rFonts w:ascii="Arial" w:hAnsi="Arial" w:eastAsia="Arial" w:cs="Arial"/>
          <w:i w:val="false"/>
          <w:b w:val="true"/>
          <w:u w:val="none"/>
          <w:sz w:val="20"/>
          <w:szCs w:val="20"/>
          <w:color w:val="7A378B"/>
        </w:rPr>
        <w:t xml:space="preserve">C. DO THE K-LEVELS FOLLOW A NORMAL DISTRIBUTION?</w:t>
      </w:r>
    </w:p>
    <w:p>
      <w:pPr>
        <w:pStyle w:val="FirstParagraph"/>
      </w:pPr>
      <w:r>
        <w:t xml:space="preserve">The four quartiles display evidence of skewness. Figures 4, 5, 6, and 7 display Q-Q plots for the four graduation rate quartiles. Each of these plots display values on the left and right side to be above what we would expect (indicated by the blue line) if the data was normally distributed, indicating a significant deviation from normality. Since the interquartile variance is approximately equal and the data did not display evidence suggesting that it was normally distributed, the nonparametric K-sample permutation test will be used over the parametric ANOVA test and the Kruskal-Wallis test.</w:t>
      </w:r>
    </w:p>
    <w:p>
      <w:pPr>
        <w:pStyle w:val="BodyText"/>
      </w:pPr>
      <w:r>
        <w:t xml:space="preserve">Notably, on the left side of each of the plots we see that the sample is above the blue line suggesting that there was more institutions with loan default rates closer to 0% than what we would expect if the data is normally distributed. For Q1 in Figure 4, we can see that the left side of the plot mostly follows what would be expected if the data was normally distributed but with a slight deviation above the blue line. In comparison, Q2 in Figure 5, we can see on the left side of the plot that the deviation above the blue line is much greater than the deviation seen for Q1. Similarly, we can see in Figure 6 (for Q3) and 7 (for Q4) that the data further deviates from the blue line. This information suggests that institutions with higher graduation rates will have more institutions with loan default rates close to zero.</w:t>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3.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4.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Start w:id="34" w:name="section-10"/>
    <w:p>
      <w:pPr>
        <w:pStyle w:val="Heading5"/>
      </w:pPr>
    </w:p>
    <w:bookmarkEnd w:id="34"/>
    <w:bookmarkEnd w:id="35"/>
    <w:bookmarkStart w:id="36" w:name="section-11"/>
    <w:p>
      <w:pPr>
        <w:pStyle w:val="Heading2"/>
      </w:pPr>
      <w:r>
        <w:rPr>
          <w:rFonts w:ascii="Arial" w:hAnsi="Arial" w:eastAsia="Arial" w:cs="Arial"/>
          <w:i w:val="false"/>
          <w:b w:val="true"/>
          <w:u w:val="none"/>
          <w:sz w:val="20"/>
          <w:szCs w:val="20"/>
          <w:color w:val="7A378B"/>
        </w:rPr>
        <w:t xml:space="preserve">D. NONPARAMETRIC TEST: K-Sample Permutation</w:t>
      </w:r>
    </w:p>
    <w:p>
      <w:pPr>
        <w:pStyle w:val="FirstParagraph"/>
      </w:pPr>
      <w:r>
        <w:t xml:space="preserve">The results of this test showed that there is a difference in the default rate between each of the quartiles. In fact, I am 99% confident that the true p-value is between 0 and 0.0005. This indicates that at least one of the distributions has a shift in location that is significantly different from the other quartiles. Further analysis will be conducted via Tukey’s HSD, Fisher’s LSD, and Bonferroni’s correction in the next section.</w:t>
      </w:r>
    </w:p>
    <w:p>
      <w:pPr>
        <w:pStyle w:val="SourceCode"/>
      </w:pPr>
      <w:r>
        <w:rPr>
          <w:rStyle w:val="VerbatimChar"/>
        </w:rPr>
        <w:t xml:space="preserve">## </w:t>
      </w:r>
      <w:r>
        <w:br/>
      </w:r>
      <w:r>
        <w:rPr>
          <w:rStyle w:val="VerbatimChar"/>
        </w:rPr>
        <w:t xml:space="preserve">##  K-Sample Asymptotic Permutation Test</w:t>
      </w:r>
      <w:r>
        <w:br/>
      </w:r>
      <w:r>
        <w:rPr>
          <w:rStyle w:val="VerbatimChar"/>
        </w:rPr>
        <w:t xml:space="preserve">## </w:t>
      </w:r>
      <w:r>
        <w:br/>
      </w:r>
      <w:r>
        <w:rPr>
          <w:rStyle w:val="VerbatimChar"/>
        </w:rPr>
        <w:t xml:space="preserve">## data:  Quant_var by Cat_var</w:t>
      </w:r>
      <w:r>
        <w:br/>
      </w:r>
      <w:r>
        <w:rPr>
          <w:rStyle w:val="VerbatimChar"/>
        </w:rPr>
        <w:t xml:space="preserve">## Chi Square = 645.02, df = 3, p-value &lt; 2.2e-16</w:t>
      </w:r>
    </w:p>
    <w:p>
      <w:pPr>
        <w:pStyle w:val="SourceCode"/>
      </w:pPr>
      <w:r>
        <w:rPr>
          <w:rStyle w:val="VerbatimChar"/>
        </w:rPr>
        <w:t xml:space="preserve">## </w:t>
      </w:r>
      <w:r>
        <w:br/>
      </w:r>
      <w:r>
        <w:rPr>
          <w:rStyle w:val="VerbatimChar"/>
        </w:rPr>
        <w:t xml:space="preserve">##  K-Sample Exact Permutation Test Estimated by Monte Carlo</w:t>
      </w:r>
      <w:r>
        <w:br/>
      </w:r>
      <w:r>
        <w:rPr>
          <w:rStyle w:val="VerbatimChar"/>
        </w:rPr>
        <w:t xml:space="preserve">## </w:t>
      </w:r>
      <w:r>
        <w:br/>
      </w:r>
      <w:r>
        <w:rPr>
          <w:rStyle w:val="VerbatimChar"/>
        </w:rPr>
        <w:t xml:space="preserve">## data:  Quant_var by Cat_var</w:t>
      </w:r>
      <w:r>
        <w:br/>
      </w:r>
      <w:r>
        <w:rPr>
          <w:rStyle w:val="VerbatimChar"/>
        </w:rPr>
        <w:t xml:space="preserve">## p-value = 9.999e-05</w:t>
      </w:r>
      <w:r>
        <w:br/>
      </w:r>
      <w:r>
        <w:rPr>
          <w:rStyle w:val="VerbatimChar"/>
        </w:rPr>
        <w:t xml:space="preserve">## </w:t>
      </w:r>
      <w:r>
        <w:br/>
      </w:r>
      <w:r>
        <w:rPr>
          <w:rStyle w:val="VerbatimChar"/>
        </w:rPr>
        <w:t xml:space="preserve">## p-value estimated from 10000 Monte Carlo replications</w:t>
      </w:r>
      <w:r>
        <w:br/>
      </w:r>
      <w:r>
        <w:rPr>
          <w:rStyle w:val="VerbatimChar"/>
        </w:rPr>
        <w:t xml:space="preserve">## 99 percent confidence interval on p-value:</w:t>
      </w:r>
      <w:r>
        <w:br/>
      </w:r>
      <w:r>
        <w:rPr>
          <w:rStyle w:val="VerbatimChar"/>
        </w:rPr>
        <w:t xml:space="preserve">##  0.0000000000 0.0005296914</w:t>
      </w:r>
    </w:p>
    <w:bookmarkEnd w:id="36"/>
    <w:bookmarkStart w:id="39" w:name="section-12"/>
    <w:p>
      <w:pPr>
        <w:pStyle w:val="Heading2"/>
      </w:pPr>
      <w:r>
        <w:rPr>
          <w:rFonts w:ascii="Arial" w:hAnsi="Arial" w:eastAsia="Arial" w:cs="Arial"/>
          <w:i w:val="false"/>
          <w:b w:val="true"/>
          <w:u w:val="none"/>
          <w:sz w:val="20"/>
          <w:szCs w:val="20"/>
          <w:color w:val="7A378B"/>
        </w:rPr>
        <w:t xml:space="preserve">E. POST-HOC PROCEDURES</w:t>
      </w:r>
    </w:p>
    <w:p>
      <w:pPr>
        <w:pStyle w:val="FirstParagraph"/>
      </w:pPr>
      <w:r>
        <w:t xml:space="preserve">Three post-hoc procedures were performed: Tukey’s HSD, Fisher’s LSD, and Bonferroni’s correction. These procedures are used to investigate which quartiles contained differences and which did not. From the output of the Tukey’s HSD test, we see that Quartiles 2 and 3 did not significantly differ from each other. Quartiles 0 and 1 did display a difference with each other as well as with Quartile 3. Thus, I am 95% confident that the true difference in the centers for Quartile 2 and 2 is between -0.047 and -0.037. The results of the Tukey’s HSD test can be visualized by the figure below. Fisher’s LSD and Bonferroni’s correction did not disagree with the Tukey’s HSD test. These tests found no difference between Quartile 3 and 3 but did find a difference between Quartiles 0, 1, and 2.</w:t>
      </w:r>
    </w:p>
    <w:p>
      <w:pPr>
        <w:pStyle w:val="TableCaption"/>
      </w:pPr>
      <w:r>
        <w:t xml:space="preserve">Table *: Tukey HSD</w:t>
      </w:r>
    </w:p>
    <w:tbl>
      <w:tblPr>
        <w:tblStyle w:val="Table"/>
        <w:tblW w:type="pct" w:w="0.0"/>
        <w:tblLook w:firstRow="1" w:lastRow="0" w:firstColumn="0" w:lastColumn="0" w:noHBand="0" w:noVBand="0" w:val="0020"/>
        <w:tblCaption w:val="Table *: Tukey HSD"/>
      </w:tblPr>
      <w:tblGrid/>
      <w:tr>
        <w:tc>
          <w:p/>
        </w:tc>
        <w:tc>
          <w:p>
            <w:pPr>
              <w:pStyle w:val="Compact"/>
              <w:jc w:val="right"/>
            </w:pPr>
            <w:r>
              <w:t xml:space="preserve">diff</w:t>
            </w:r>
          </w:p>
        </w:tc>
        <w:tc>
          <w:p>
            <w:pPr>
              <w:pStyle w:val="Compact"/>
              <w:jc w:val="right"/>
            </w:pPr>
            <w:r>
              <w:t xml:space="preserve">lwr</w:t>
            </w:r>
          </w:p>
        </w:tc>
        <w:tc>
          <w:p>
            <w:pPr>
              <w:pStyle w:val="Compact"/>
              <w:jc w:val="right"/>
            </w:pPr>
            <w:r>
              <w:t xml:space="preserve">upr</w:t>
            </w:r>
          </w:p>
        </w:tc>
        <w:tc>
          <w:p>
            <w:pPr>
              <w:pStyle w:val="Compact"/>
              <w:jc w:val="right"/>
            </w:pPr>
            <w:r>
              <w:t xml:space="preserve">p adj</w:t>
            </w:r>
          </w:p>
        </w:tc>
      </w:tr>
      <w:tr>
        <w:tc>
          <w:p>
            <w:pPr>
              <w:pStyle w:val="Compact"/>
              <w:jc w:val="left"/>
            </w:pPr>
            <w:r>
              <w:t xml:space="preserve">Q2-Q1</w:t>
            </w:r>
          </w:p>
        </w:tc>
        <w:tc>
          <w:p>
            <w:pPr>
              <w:pStyle w:val="Compact"/>
              <w:jc w:val="right"/>
            </w:pPr>
            <w:r>
              <w:t xml:space="preserve">-0.0209</w:t>
            </w:r>
          </w:p>
        </w:tc>
        <w:tc>
          <w:p>
            <w:pPr>
              <w:pStyle w:val="Compact"/>
              <w:jc w:val="right"/>
            </w:pPr>
            <w:r>
              <w:t xml:space="preserve">-0.0272</w:t>
            </w:r>
          </w:p>
        </w:tc>
        <w:tc>
          <w:p>
            <w:pPr>
              <w:pStyle w:val="Compact"/>
              <w:jc w:val="right"/>
            </w:pPr>
            <w:r>
              <w:t xml:space="preserve">-0.0146</w:t>
            </w:r>
          </w:p>
        </w:tc>
        <w:tc>
          <w:p>
            <w:pPr>
              <w:pStyle w:val="Compact"/>
              <w:jc w:val="right"/>
            </w:pPr>
            <w:r>
              <w:t xml:space="preserve">0.0000</w:t>
            </w:r>
          </w:p>
        </w:tc>
      </w:tr>
      <w:tr>
        <w:tc>
          <w:p>
            <w:pPr>
              <w:pStyle w:val="Compact"/>
              <w:jc w:val="left"/>
            </w:pPr>
            <w:r>
              <w:t xml:space="preserve">Q3-Q1</w:t>
            </w:r>
          </w:p>
        </w:tc>
        <w:tc>
          <w:p>
            <w:pPr>
              <w:pStyle w:val="Compact"/>
              <w:jc w:val="right"/>
            </w:pPr>
            <w:r>
              <w:t xml:space="preserve">-0.0630</w:t>
            </w:r>
          </w:p>
        </w:tc>
        <w:tc>
          <w:p>
            <w:pPr>
              <w:pStyle w:val="Compact"/>
              <w:jc w:val="right"/>
            </w:pPr>
            <w:r>
              <w:t xml:space="preserve">-0.0694</w:t>
            </w:r>
          </w:p>
        </w:tc>
        <w:tc>
          <w:p>
            <w:pPr>
              <w:pStyle w:val="Compact"/>
              <w:jc w:val="right"/>
            </w:pPr>
            <w:r>
              <w:t xml:space="preserve">-0.0565</w:t>
            </w:r>
          </w:p>
        </w:tc>
        <w:tc>
          <w:p>
            <w:pPr>
              <w:pStyle w:val="Compact"/>
              <w:jc w:val="right"/>
            </w:pPr>
            <w:r>
              <w:t xml:space="preserve">0.0000</w:t>
            </w:r>
          </w:p>
        </w:tc>
      </w:tr>
      <w:tr>
        <w:tc>
          <w:p>
            <w:pPr>
              <w:pStyle w:val="Compact"/>
              <w:jc w:val="left"/>
            </w:pPr>
            <w:r>
              <w:t xml:space="preserve">Q4-Q1</w:t>
            </w:r>
          </w:p>
        </w:tc>
        <w:tc>
          <w:p>
            <w:pPr>
              <w:pStyle w:val="Compact"/>
              <w:jc w:val="right"/>
            </w:pPr>
            <w:r>
              <w:t xml:space="preserve">-0.0611</w:t>
            </w:r>
          </w:p>
        </w:tc>
        <w:tc>
          <w:p>
            <w:pPr>
              <w:pStyle w:val="Compact"/>
              <w:jc w:val="right"/>
            </w:pPr>
            <w:r>
              <w:t xml:space="preserve">-0.0712</w:t>
            </w:r>
          </w:p>
        </w:tc>
        <w:tc>
          <w:p>
            <w:pPr>
              <w:pStyle w:val="Compact"/>
              <w:jc w:val="right"/>
            </w:pPr>
            <w:r>
              <w:t xml:space="preserve">-0.0510</w:t>
            </w:r>
          </w:p>
        </w:tc>
        <w:tc>
          <w:p>
            <w:pPr>
              <w:pStyle w:val="Compact"/>
              <w:jc w:val="right"/>
            </w:pPr>
            <w:r>
              <w:t xml:space="preserve">0.0000</w:t>
            </w:r>
          </w:p>
        </w:tc>
      </w:tr>
      <w:tr>
        <w:tc>
          <w:p>
            <w:pPr>
              <w:pStyle w:val="Compact"/>
              <w:jc w:val="left"/>
            </w:pPr>
            <w:r>
              <w:t xml:space="preserve">Q3-Q2</w:t>
            </w:r>
          </w:p>
        </w:tc>
        <w:tc>
          <w:p>
            <w:pPr>
              <w:pStyle w:val="Compact"/>
              <w:jc w:val="right"/>
            </w:pPr>
            <w:r>
              <w:t xml:space="preserve">-0.0421</w:t>
            </w:r>
          </w:p>
        </w:tc>
        <w:tc>
          <w:p>
            <w:pPr>
              <w:pStyle w:val="Compact"/>
              <w:jc w:val="right"/>
            </w:pPr>
            <w:r>
              <w:t xml:space="preserve">-0.0472</w:t>
            </w:r>
          </w:p>
        </w:tc>
        <w:tc>
          <w:p>
            <w:pPr>
              <w:pStyle w:val="Compact"/>
              <w:jc w:val="right"/>
            </w:pPr>
            <w:r>
              <w:t xml:space="preserve">-0.0370</w:t>
            </w:r>
          </w:p>
        </w:tc>
        <w:tc>
          <w:p>
            <w:pPr>
              <w:pStyle w:val="Compact"/>
              <w:jc w:val="right"/>
            </w:pPr>
            <w:r>
              <w:t xml:space="preserve">0.0000</w:t>
            </w:r>
          </w:p>
        </w:tc>
      </w:tr>
      <w:tr>
        <w:tc>
          <w:p>
            <w:pPr>
              <w:pStyle w:val="Compact"/>
              <w:jc w:val="left"/>
            </w:pPr>
            <w:r>
              <w:t xml:space="preserve">Q4-Q2</w:t>
            </w:r>
          </w:p>
        </w:tc>
        <w:tc>
          <w:p>
            <w:pPr>
              <w:pStyle w:val="Compact"/>
              <w:jc w:val="right"/>
            </w:pPr>
            <w:r>
              <w:t xml:space="preserve">-0.0402</w:t>
            </w:r>
          </w:p>
        </w:tc>
        <w:tc>
          <w:p>
            <w:pPr>
              <w:pStyle w:val="Compact"/>
              <w:jc w:val="right"/>
            </w:pPr>
            <w:r>
              <w:t xml:space="preserve">-0.0495</w:t>
            </w:r>
          </w:p>
        </w:tc>
        <w:tc>
          <w:p>
            <w:pPr>
              <w:pStyle w:val="Compact"/>
              <w:jc w:val="right"/>
            </w:pPr>
            <w:r>
              <w:t xml:space="preserve">-0.0309</w:t>
            </w:r>
          </w:p>
        </w:tc>
        <w:tc>
          <w:p>
            <w:pPr>
              <w:pStyle w:val="Compact"/>
              <w:jc w:val="right"/>
            </w:pPr>
            <w:r>
              <w:t xml:space="preserve">0.0000</w:t>
            </w:r>
          </w:p>
        </w:tc>
      </w:tr>
      <w:tr>
        <w:tc>
          <w:p>
            <w:pPr>
              <w:pStyle w:val="Compact"/>
              <w:jc w:val="left"/>
            </w:pPr>
            <w:r>
              <w:t xml:space="preserve">Q4-Q3</w:t>
            </w:r>
          </w:p>
        </w:tc>
        <w:tc>
          <w:p>
            <w:pPr>
              <w:pStyle w:val="Compact"/>
              <w:jc w:val="right"/>
            </w:pPr>
            <w:r>
              <w:t xml:space="preserve">0.0019</w:t>
            </w:r>
          </w:p>
        </w:tc>
        <w:tc>
          <w:p>
            <w:pPr>
              <w:pStyle w:val="Compact"/>
              <w:jc w:val="right"/>
            </w:pPr>
            <w:r>
              <w:t xml:space="preserve">-0.0074</w:t>
            </w:r>
          </w:p>
        </w:tc>
        <w:tc>
          <w:p>
            <w:pPr>
              <w:pStyle w:val="Compact"/>
              <w:jc w:val="right"/>
            </w:pPr>
            <w:r>
              <w:t xml:space="preserve">0.0113</w:t>
            </w:r>
          </w:p>
        </w:tc>
        <w:tc>
          <w:p>
            <w:pPr>
              <w:pStyle w:val="Compact"/>
              <w:jc w:val="right"/>
            </w:pPr>
            <w:r>
              <w:t xml:space="preserve">0.9518</w:t>
            </w:r>
          </w:p>
        </w:tc>
      </w:tr>
    </w:tbl>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Tukey%20Plot-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TableCaption"/>
      </w:pPr>
      <w:r>
        <w:t xml:space="preserve">Table *: Fishers LSD statistics</w:t>
      </w:r>
    </w:p>
    <w:tbl>
      <w:tblPr>
        <w:tblStyle w:val="Table"/>
        <w:tblW w:type="pct" w:w="0.0"/>
        <w:tblLook w:firstRow="1" w:lastRow="0" w:firstColumn="0" w:lastColumn="0" w:noHBand="0" w:noVBand="0" w:val="0020"/>
        <w:tblCaption w:val="Table *: Fishers LSD statistics"/>
      </w:tblPr>
      <w:tblGrid/>
      <w:tr>
        <w:tc>
          <w:p/>
        </w:tc>
        <w:tc>
          <w:p>
            <w:pPr>
              <w:pStyle w:val="Compact"/>
              <w:jc w:val="right"/>
            </w:pPr>
            <w:r>
              <w:t xml:space="preserve">MSerror</w:t>
            </w:r>
          </w:p>
        </w:tc>
        <w:tc>
          <w:p>
            <w:pPr>
              <w:pStyle w:val="Compact"/>
              <w:jc w:val="right"/>
            </w:pPr>
            <w:r>
              <w:t xml:space="preserve">Df</w:t>
            </w:r>
          </w:p>
        </w:tc>
        <w:tc>
          <w:p>
            <w:pPr>
              <w:pStyle w:val="Compact"/>
              <w:jc w:val="right"/>
            </w:pPr>
            <w:r>
              <w:t xml:space="preserve">Mean</w:t>
            </w:r>
          </w:p>
        </w:tc>
        <w:tc>
          <w:p>
            <w:pPr>
              <w:pStyle w:val="Compact"/>
              <w:jc w:val="right"/>
            </w:pPr>
            <w:r>
              <w:t xml:space="preserve">CV</w:t>
            </w:r>
          </w:p>
        </w:tc>
      </w:tr>
      <w:tr>
        <w:tc>
          <w:p/>
        </w:tc>
        <w:tc>
          <w:p>
            <w:pPr>
              <w:pStyle w:val="Compact"/>
              <w:jc w:val="right"/>
            </w:pPr>
            <w:r>
              <w:t xml:space="preserve">0.002</w:t>
            </w:r>
          </w:p>
        </w:tc>
        <w:tc>
          <w:p>
            <w:pPr>
              <w:pStyle w:val="Compact"/>
              <w:jc w:val="right"/>
            </w:pPr>
            <w:r>
              <w:t xml:space="preserve">2765</w:t>
            </w:r>
          </w:p>
        </w:tc>
        <w:tc>
          <w:p>
            <w:pPr>
              <w:pStyle w:val="Compact"/>
              <w:jc w:val="right"/>
            </w:pPr>
            <w:r>
              <w:t xml:space="preserve">0.0975</w:t>
            </w:r>
          </w:p>
        </w:tc>
        <w:tc>
          <w:p>
            <w:pPr>
              <w:pStyle w:val="Compact"/>
              <w:jc w:val="right"/>
            </w:pPr>
            <w:r>
              <w:t xml:space="preserve">46.2533</w:t>
            </w:r>
          </w:p>
        </w:tc>
      </w:tr>
    </w:tbl>
    <w:p/>
    <w:p>
      <w:pPr>
        <w:pStyle w:val="TableCaption"/>
      </w:pPr>
      <w:r>
        <w:t xml:space="preserve">Table *: Fishers LSD means by Quartile</w:t>
      </w:r>
    </w:p>
    <w:tbl>
      <w:tblPr>
        <w:tblStyle w:val="Table"/>
        <w:tblW w:type="pct" w:w="0.0"/>
        <w:tblLook w:firstRow="1" w:lastRow="0" w:firstColumn="0" w:lastColumn="0" w:noHBand="0" w:noVBand="0" w:val="0020"/>
        <w:tblCaption w:val="Table *: Fishers LSD means by Quartile"/>
      </w:tblPr>
      <w:tblGrid/>
      <w:tr>
        <w:tc>
          <w:p/>
        </w:tc>
        <w:tc>
          <w:p>
            <w:pPr>
              <w:pStyle w:val="Compact"/>
              <w:jc w:val="right"/>
            </w:pPr>
            <w:r>
              <w:t xml:space="preserve">Quant_var</w:t>
            </w:r>
          </w:p>
        </w:tc>
        <w:tc>
          <w:p>
            <w:pPr>
              <w:pStyle w:val="Compact"/>
              <w:jc w:val="right"/>
            </w:pPr>
            <w:r>
              <w:t xml:space="preserve">std</w:t>
            </w:r>
          </w:p>
        </w:tc>
        <w:tc>
          <w:p>
            <w:pPr>
              <w:pStyle w:val="Compact"/>
              <w:jc w:val="right"/>
            </w:pPr>
            <w:r>
              <w:t xml:space="preserve">r</w:t>
            </w:r>
          </w:p>
        </w:tc>
        <w:tc>
          <w:p>
            <w:pPr>
              <w:pStyle w:val="Compact"/>
              <w:jc w:val="right"/>
            </w:pPr>
            <w:r>
              <w:t xml:space="preserve">LCL</w:t>
            </w:r>
          </w:p>
        </w:tc>
        <w:tc>
          <w:p>
            <w:pPr>
              <w:pStyle w:val="Compact"/>
              <w:jc w:val="right"/>
            </w:pPr>
            <w:r>
              <w:t xml:space="preserve">UCL</w:t>
            </w:r>
          </w:p>
        </w:tc>
        <w:tc>
          <w:p>
            <w:pPr>
              <w:pStyle w:val="Compact"/>
              <w:jc w:val="right"/>
            </w:pPr>
            <w:r>
              <w:t xml:space="preserve">Min</w:t>
            </w:r>
          </w:p>
        </w:tc>
        <w:tc>
          <w:p>
            <w:pPr>
              <w:pStyle w:val="Compact"/>
              <w:jc w:val="right"/>
            </w:pPr>
            <w:r>
              <w:t xml:space="preserve">Max</w:t>
            </w:r>
          </w:p>
        </w:tc>
        <w:tc>
          <w:p>
            <w:pPr>
              <w:pStyle w:val="Compact"/>
              <w:jc w:val="right"/>
            </w:pPr>
            <w:r>
              <w:t xml:space="preserve">Q25</w:t>
            </w:r>
          </w:p>
        </w:tc>
        <w:tc>
          <w:p>
            <w:pPr>
              <w:pStyle w:val="Compact"/>
              <w:jc w:val="right"/>
            </w:pPr>
            <w:r>
              <w:t xml:space="preserve">Q50</w:t>
            </w:r>
          </w:p>
        </w:tc>
        <w:tc>
          <w:p>
            <w:pPr>
              <w:pStyle w:val="Compact"/>
              <w:jc w:val="right"/>
            </w:pPr>
            <w:r>
              <w:t xml:space="preserve">Q75</w:t>
            </w:r>
          </w:p>
        </w:tc>
      </w:tr>
      <w:tr>
        <w:tc>
          <w:p>
            <w:pPr>
              <w:pStyle w:val="Compact"/>
              <w:jc w:val="left"/>
            </w:pPr>
            <w:r>
              <w:t xml:space="preserve">Q1</w:t>
            </w:r>
          </w:p>
        </w:tc>
        <w:tc>
          <w:p>
            <w:pPr>
              <w:pStyle w:val="Compact"/>
              <w:jc w:val="right"/>
            </w:pPr>
            <w:r>
              <w:t xml:space="preserve">0.1323</w:t>
            </w:r>
          </w:p>
        </w:tc>
        <w:tc>
          <w:p>
            <w:pPr>
              <w:pStyle w:val="Compact"/>
              <w:jc w:val="right"/>
            </w:pPr>
            <w:r>
              <w:t xml:space="preserve">0.0414</w:t>
            </w:r>
          </w:p>
        </w:tc>
        <w:tc>
          <w:p>
            <w:pPr>
              <w:pStyle w:val="Compact"/>
              <w:jc w:val="right"/>
            </w:pPr>
            <w:r>
              <w:t xml:space="preserve">484</w:t>
            </w:r>
          </w:p>
        </w:tc>
        <w:tc>
          <w:p>
            <w:pPr>
              <w:pStyle w:val="Compact"/>
              <w:jc w:val="right"/>
            </w:pPr>
            <w:r>
              <w:t xml:space="preserve">0.1283</w:t>
            </w:r>
          </w:p>
        </w:tc>
        <w:tc>
          <w:p>
            <w:pPr>
              <w:pStyle w:val="Compact"/>
              <w:jc w:val="right"/>
            </w:pPr>
            <w:r>
              <w:t xml:space="preserve">0.1363</w:t>
            </w:r>
          </w:p>
        </w:tc>
        <w:tc>
          <w:p>
            <w:pPr>
              <w:pStyle w:val="Compact"/>
              <w:jc w:val="right"/>
            </w:pPr>
            <w:r>
              <w:t xml:space="preserve">0.0334</w:t>
            </w:r>
          </w:p>
        </w:tc>
        <w:tc>
          <w:p>
            <w:pPr>
              <w:pStyle w:val="Compact"/>
              <w:jc w:val="right"/>
            </w:pPr>
            <w:r>
              <w:t xml:space="preserve">0.3477</w:t>
            </w:r>
          </w:p>
        </w:tc>
        <w:tc>
          <w:p>
            <w:pPr>
              <w:pStyle w:val="Compact"/>
              <w:jc w:val="right"/>
            </w:pPr>
            <w:r>
              <w:t xml:space="preserve">0.1052</w:t>
            </w:r>
          </w:p>
        </w:tc>
        <w:tc>
          <w:p>
            <w:pPr>
              <w:pStyle w:val="Compact"/>
              <w:jc w:val="right"/>
            </w:pPr>
            <w:r>
              <w:t xml:space="preserve">0.1256</w:t>
            </w:r>
          </w:p>
        </w:tc>
        <w:tc>
          <w:p>
            <w:pPr>
              <w:pStyle w:val="Compact"/>
              <w:jc w:val="right"/>
            </w:pPr>
            <w:r>
              <w:t xml:space="preserve">0.1592</w:t>
            </w:r>
          </w:p>
        </w:tc>
      </w:tr>
      <w:tr>
        <w:tc>
          <w:p>
            <w:pPr>
              <w:pStyle w:val="Compact"/>
              <w:jc w:val="left"/>
            </w:pPr>
            <w:r>
              <w:t xml:space="preserve">Q2</w:t>
            </w:r>
          </w:p>
        </w:tc>
        <w:tc>
          <w:p>
            <w:pPr>
              <w:pStyle w:val="Compact"/>
              <w:jc w:val="right"/>
            </w:pPr>
            <w:r>
              <w:t xml:space="preserve">0.1114</w:t>
            </w:r>
          </w:p>
        </w:tc>
        <w:tc>
          <w:p>
            <w:pPr>
              <w:pStyle w:val="Compact"/>
              <w:jc w:val="right"/>
            </w:pPr>
            <w:r>
              <w:t xml:space="preserve">0.0456</w:t>
            </w:r>
          </w:p>
        </w:tc>
        <w:tc>
          <w:p>
            <w:pPr>
              <w:pStyle w:val="Compact"/>
              <w:jc w:val="right"/>
            </w:pPr>
            <w:r>
              <w:t xml:space="preserve">1122</w:t>
            </w:r>
          </w:p>
        </w:tc>
        <w:tc>
          <w:p>
            <w:pPr>
              <w:pStyle w:val="Compact"/>
              <w:jc w:val="right"/>
            </w:pPr>
            <w:r>
              <w:t xml:space="preserve">0.1088</w:t>
            </w:r>
          </w:p>
        </w:tc>
        <w:tc>
          <w:p>
            <w:pPr>
              <w:pStyle w:val="Compact"/>
              <w:jc w:val="right"/>
            </w:pPr>
            <w:r>
              <w:t xml:space="preserve">0.1140</w:t>
            </w:r>
          </w:p>
        </w:tc>
        <w:tc>
          <w:p>
            <w:pPr>
              <w:pStyle w:val="Compact"/>
              <w:jc w:val="right"/>
            </w:pPr>
            <w:r>
              <w:t xml:space="preserve">0.0280</w:t>
            </w:r>
          </w:p>
        </w:tc>
        <w:tc>
          <w:p>
            <w:pPr>
              <w:pStyle w:val="Compact"/>
              <w:jc w:val="right"/>
            </w:pPr>
            <w:r>
              <w:t xml:space="preserve">0.4030</w:t>
            </w:r>
          </w:p>
        </w:tc>
        <w:tc>
          <w:p>
            <w:pPr>
              <w:pStyle w:val="Compact"/>
              <w:jc w:val="right"/>
            </w:pPr>
            <w:r>
              <w:t xml:space="preserve">0.0777</w:t>
            </w:r>
          </w:p>
        </w:tc>
        <w:tc>
          <w:p>
            <w:pPr>
              <w:pStyle w:val="Compact"/>
              <w:jc w:val="right"/>
            </w:pPr>
            <w:r>
              <w:t xml:space="preserve">0.1061</w:t>
            </w:r>
          </w:p>
        </w:tc>
        <w:tc>
          <w:p>
            <w:pPr>
              <w:pStyle w:val="Compact"/>
              <w:jc w:val="right"/>
            </w:pPr>
            <w:r>
              <w:t xml:space="preserve">0.1386</w:t>
            </w:r>
          </w:p>
        </w:tc>
      </w:tr>
      <w:tr>
        <w:tc>
          <w:p>
            <w:pPr>
              <w:pStyle w:val="Compact"/>
              <w:jc w:val="left"/>
            </w:pPr>
            <w:r>
              <w:t xml:space="preserve">Q3</w:t>
            </w:r>
          </w:p>
        </w:tc>
        <w:tc>
          <w:p>
            <w:pPr>
              <w:pStyle w:val="Compact"/>
              <w:jc w:val="right"/>
            </w:pPr>
            <w:r>
              <w:t xml:space="preserve">0.0693</w:t>
            </w:r>
          </w:p>
        </w:tc>
        <w:tc>
          <w:p>
            <w:pPr>
              <w:pStyle w:val="Compact"/>
              <w:jc w:val="right"/>
            </w:pPr>
            <w:r>
              <w:t xml:space="preserve">0.0434</w:t>
            </w:r>
          </w:p>
        </w:tc>
        <w:tc>
          <w:p>
            <w:pPr>
              <w:pStyle w:val="Compact"/>
              <w:jc w:val="right"/>
            </w:pPr>
            <w:r>
              <w:t xml:space="preserve">982</w:t>
            </w:r>
          </w:p>
        </w:tc>
        <w:tc>
          <w:p>
            <w:pPr>
              <w:pStyle w:val="Compact"/>
              <w:jc w:val="right"/>
            </w:pPr>
            <w:r>
              <w:t xml:space="preserve">0.0665</w:t>
            </w:r>
          </w:p>
        </w:tc>
        <w:tc>
          <w:p>
            <w:pPr>
              <w:pStyle w:val="Compact"/>
              <w:jc w:val="right"/>
            </w:pPr>
            <w:r>
              <w:t xml:space="preserve">0.0721</w:t>
            </w:r>
          </w:p>
        </w:tc>
        <w:tc>
          <w:p>
            <w:pPr>
              <w:pStyle w:val="Compact"/>
              <w:jc w:val="right"/>
            </w:pPr>
            <w:r>
              <w:t xml:space="preserve">0.0145</w:t>
            </w:r>
          </w:p>
        </w:tc>
        <w:tc>
          <w:p>
            <w:pPr>
              <w:pStyle w:val="Compact"/>
              <w:jc w:val="right"/>
            </w:pPr>
            <w:r>
              <w:t xml:space="preserve">0.2636</w:t>
            </w:r>
          </w:p>
        </w:tc>
        <w:tc>
          <w:p>
            <w:pPr>
              <w:pStyle w:val="Compact"/>
              <w:jc w:val="right"/>
            </w:pPr>
            <w:r>
              <w:t xml:space="preserve">0.0400</w:t>
            </w:r>
          </w:p>
        </w:tc>
        <w:tc>
          <w:p>
            <w:pPr>
              <w:pStyle w:val="Compact"/>
              <w:jc w:val="right"/>
            </w:pPr>
            <w:r>
              <w:t xml:space="preserve">0.0567</w:t>
            </w:r>
          </w:p>
        </w:tc>
        <w:tc>
          <w:p>
            <w:pPr>
              <w:pStyle w:val="Compact"/>
              <w:jc w:val="right"/>
            </w:pPr>
            <w:r>
              <w:t xml:space="preserve">0.0813</w:t>
            </w:r>
          </w:p>
        </w:tc>
      </w:tr>
      <w:tr>
        <w:tc>
          <w:p>
            <w:pPr>
              <w:pStyle w:val="Compact"/>
              <w:jc w:val="left"/>
            </w:pPr>
            <w:r>
              <w:t xml:space="preserve">Q4</w:t>
            </w:r>
          </w:p>
        </w:tc>
        <w:tc>
          <w:p>
            <w:pPr>
              <w:pStyle w:val="Compact"/>
              <w:jc w:val="right"/>
            </w:pPr>
            <w:r>
              <w:t xml:space="preserve">0.0712</w:t>
            </w:r>
          </w:p>
        </w:tc>
        <w:tc>
          <w:p>
            <w:pPr>
              <w:pStyle w:val="Compact"/>
              <w:jc w:val="right"/>
            </w:pPr>
            <w:r>
              <w:t xml:space="preserve">0.0587</w:t>
            </w:r>
          </w:p>
        </w:tc>
        <w:tc>
          <w:p>
            <w:pPr>
              <w:pStyle w:val="Compact"/>
              <w:jc w:val="right"/>
            </w:pPr>
            <w:r>
              <w:t xml:space="preserve">181</w:t>
            </w:r>
          </w:p>
        </w:tc>
        <w:tc>
          <w:p>
            <w:pPr>
              <w:pStyle w:val="Compact"/>
              <w:jc w:val="right"/>
            </w:pPr>
            <w:r>
              <w:t xml:space="preserve">0.0647</w:t>
            </w:r>
          </w:p>
        </w:tc>
        <w:tc>
          <w:p>
            <w:pPr>
              <w:pStyle w:val="Compact"/>
              <w:jc w:val="right"/>
            </w:pPr>
            <w:r>
              <w:t xml:space="preserve">0.0778</w:t>
            </w:r>
          </w:p>
        </w:tc>
        <w:tc>
          <w:p>
            <w:pPr>
              <w:pStyle w:val="Compact"/>
              <w:jc w:val="right"/>
            </w:pPr>
            <w:r>
              <w:t xml:space="preserve">0.0093</w:t>
            </w:r>
          </w:p>
        </w:tc>
        <w:tc>
          <w:p>
            <w:pPr>
              <w:pStyle w:val="Compact"/>
              <w:jc w:val="right"/>
            </w:pPr>
            <w:r>
              <w:t xml:space="preserve">0.2439</w:t>
            </w:r>
          </w:p>
        </w:tc>
        <w:tc>
          <w:p>
            <w:pPr>
              <w:pStyle w:val="Compact"/>
              <w:jc w:val="right"/>
            </w:pPr>
            <w:r>
              <w:t xml:space="preserve">0.0227</w:t>
            </w:r>
          </w:p>
        </w:tc>
        <w:tc>
          <w:p>
            <w:pPr>
              <w:pStyle w:val="Compact"/>
              <w:jc w:val="right"/>
            </w:pPr>
            <w:r>
              <w:t xml:space="preserve">0.0528</w:t>
            </w:r>
          </w:p>
        </w:tc>
        <w:tc>
          <w:p>
            <w:pPr>
              <w:pStyle w:val="Compact"/>
              <w:jc w:val="right"/>
            </w:pPr>
            <w:r>
              <w:t xml:space="preserve">0.1006</w:t>
            </w:r>
          </w:p>
        </w:tc>
      </w:tr>
    </w:tbl>
    <w:p/>
    <w:p>
      <w:pPr>
        <w:pStyle w:val="TableCaption"/>
      </w:pPr>
      <w:r>
        <w:t xml:space="preserve">Table *: Fishers LSD interquartile comparison</w:t>
      </w:r>
    </w:p>
    <w:tbl>
      <w:tblPr>
        <w:tblStyle w:val="Table"/>
        <w:tblW w:type="pct" w:w="0.0"/>
        <w:tblLook w:firstRow="1" w:lastRow="0" w:firstColumn="0" w:lastColumn="0" w:noHBand="0" w:noVBand="0" w:val="0020"/>
        <w:tblCaption w:val="Table *: Fishers LSD interquartile comparison"/>
      </w:tblPr>
      <w:tblGrid/>
      <w:tr>
        <w:tc>
          <w:p/>
        </w:tc>
        <w:tc>
          <w:p>
            <w:pPr>
              <w:pStyle w:val="Compact"/>
              <w:jc w:val="right"/>
            </w:pPr>
            <w:r>
              <w:t xml:space="preserve">difference</w:t>
            </w:r>
          </w:p>
        </w:tc>
        <w:tc>
          <w:p>
            <w:pPr>
              <w:pStyle w:val="Compact"/>
              <w:jc w:val="right"/>
            </w:pPr>
            <w:r>
              <w:t xml:space="preserve">pvalue</w:t>
            </w:r>
          </w:p>
        </w:tc>
        <w:tc>
          <w:p>
            <w:pPr>
              <w:pStyle w:val="Compact"/>
              <w:jc w:val="left"/>
            </w:pPr>
            <w:r>
              <w:t xml:space="preserve">signif.</w:t>
            </w:r>
          </w:p>
        </w:tc>
        <w:tc>
          <w:p>
            <w:pPr>
              <w:pStyle w:val="Compact"/>
              <w:jc w:val="right"/>
            </w:pPr>
            <w:r>
              <w:t xml:space="preserve">LCL</w:t>
            </w:r>
          </w:p>
        </w:tc>
        <w:tc>
          <w:p>
            <w:pPr>
              <w:pStyle w:val="Compact"/>
              <w:jc w:val="right"/>
            </w:pPr>
            <w:r>
              <w:t xml:space="preserve">UCL</w:t>
            </w:r>
          </w:p>
        </w:tc>
      </w:tr>
      <w:tr>
        <w:tc>
          <w:p>
            <w:pPr>
              <w:pStyle w:val="Compact"/>
              <w:jc w:val="left"/>
            </w:pPr>
            <w:r>
              <w:t xml:space="preserve">Q1 - Q2</w:t>
            </w:r>
          </w:p>
        </w:tc>
        <w:tc>
          <w:p>
            <w:pPr>
              <w:pStyle w:val="Compact"/>
              <w:jc w:val="right"/>
            </w:pPr>
            <w:r>
              <w:t xml:space="preserve">0.0209</w:t>
            </w:r>
          </w:p>
        </w:tc>
        <w:tc>
          <w:p>
            <w:pPr>
              <w:pStyle w:val="Compact"/>
              <w:jc w:val="right"/>
            </w:pPr>
            <w:r>
              <w:t xml:space="preserve">0.0000</w:t>
            </w:r>
          </w:p>
        </w:tc>
        <w:tc>
          <w:p>
            <w:pPr>
              <w:pStyle w:val="Compact"/>
              <w:jc w:val="left"/>
            </w:pPr>
            <w:r>
              <w:t xml:space="preserve">***</w:t>
            </w:r>
          </w:p>
        </w:tc>
        <w:tc>
          <w:p>
            <w:pPr>
              <w:pStyle w:val="Compact"/>
              <w:jc w:val="right"/>
            </w:pPr>
            <w:r>
              <w:t xml:space="preserve">0.0161</w:t>
            </w:r>
          </w:p>
        </w:tc>
        <w:tc>
          <w:p>
            <w:pPr>
              <w:pStyle w:val="Compact"/>
              <w:jc w:val="right"/>
            </w:pPr>
            <w:r>
              <w:t xml:space="preserve">0.0257</w:t>
            </w:r>
          </w:p>
        </w:tc>
      </w:tr>
      <w:tr>
        <w:tc>
          <w:p>
            <w:pPr>
              <w:pStyle w:val="Compact"/>
              <w:jc w:val="left"/>
            </w:pPr>
            <w:r>
              <w:t xml:space="preserve">Q1 - Q3</w:t>
            </w:r>
          </w:p>
        </w:tc>
        <w:tc>
          <w:p>
            <w:pPr>
              <w:pStyle w:val="Compact"/>
              <w:jc w:val="right"/>
            </w:pPr>
            <w:r>
              <w:t xml:space="preserve">0.0630</w:t>
            </w:r>
          </w:p>
        </w:tc>
        <w:tc>
          <w:p>
            <w:pPr>
              <w:pStyle w:val="Compact"/>
              <w:jc w:val="right"/>
            </w:pPr>
            <w:r>
              <w:t xml:space="preserve">0.0000</w:t>
            </w:r>
          </w:p>
        </w:tc>
        <w:tc>
          <w:p>
            <w:pPr>
              <w:pStyle w:val="Compact"/>
              <w:jc w:val="left"/>
            </w:pPr>
            <w:r>
              <w:t xml:space="preserve">***</w:t>
            </w:r>
          </w:p>
        </w:tc>
        <w:tc>
          <w:p>
            <w:pPr>
              <w:pStyle w:val="Compact"/>
              <w:jc w:val="right"/>
            </w:pPr>
            <w:r>
              <w:t xml:space="preserve">0.0581</w:t>
            </w:r>
          </w:p>
        </w:tc>
        <w:tc>
          <w:p>
            <w:pPr>
              <w:pStyle w:val="Compact"/>
              <w:jc w:val="right"/>
            </w:pPr>
            <w:r>
              <w:t xml:space="preserve">0.0679</w:t>
            </w:r>
          </w:p>
        </w:tc>
      </w:tr>
      <w:tr>
        <w:tc>
          <w:p>
            <w:pPr>
              <w:pStyle w:val="Compact"/>
              <w:jc w:val="left"/>
            </w:pPr>
            <w:r>
              <w:t xml:space="preserve">Q1 - Q4</w:t>
            </w:r>
          </w:p>
        </w:tc>
        <w:tc>
          <w:p>
            <w:pPr>
              <w:pStyle w:val="Compact"/>
              <w:jc w:val="right"/>
            </w:pPr>
            <w:r>
              <w:t xml:space="preserve">0.0611</w:t>
            </w:r>
          </w:p>
        </w:tc>
        <w:tc>
          <w:p>
            <w:pPr>
              <w:pStyle w:val="Compact"/>
              <w:jc w:val="right"/>
            </w:pPr>
            <w:r>
              <w:t xml:space="preserve">0.0000</w:t>
            </w:r>
          </w:p>
        </w:tc>
        <w:tc>
          <w:p>
            <w:pPr>
              <w:pStyle w:val="Compact"/>
              <w:jc w:val="left"/>
            </w:pPr>
            <w:r>
              <w:t xml:space="preserve">***</w:t>
            </w:r>
          </w:p>
        </w:tc>
        <w:tc>
          <w:p>
            <w:pPr>
              <w:pStyle w:val="Compact"/>
              <w:jc w:val="right"/>
            </w:pPr>
            <w:r>
              <w:t xml:space="preserve">0.0533</w:t>
            </w:r>
          </w:p>
        </w:tc>
        <w:tc>
          <w:p>
            <w:pPr>
              <w:pStyle w:val="Compact"/>
              <w:jc w:val="right"/>
            </w:pPr>
            <w:r>
              <w:t xml:space="preserve">0.0688</w:t>
            </w:r>
          </w:p>
        </w:tc>
      </w:tr>
      <w:tr>
        <w:tc>
          <w:p>
            <w:pPr>
              <w:pStyle w:val="Compact"/>
              <w:jc w:val="left"/>
            </w:pPr>
            <w:r>
              <w:t xml:space="preserve">Q2 - Q3</w:t>
            </w:r>
          </w:p>
        </w:tc>
        <w:tc>
          <w:p>
            <w:pPr>
              <w:pStyle w:val="Compact"/>
              <w:jc w:val="right"/>
            </w:pPr>
            <w:r>
              <w:t xml:space="preserve">0.0421</w:t>
            </w:r>
          </w:p>
        </w:tc>
        <w:tc>
          <w:p>
            <w:pPr>
              <w:pStyle w:val="Compact"/>
              <w:jc w:val="right"/>
            </w:pPr>
            <w:r>
              <w:t xml:space="preserve">0.0000</w:t>
            </w:r>
          </w:p>
        </w:tc>
        <w:tc>
          <w:p>
            <w:pPr>
              <w:pStyle w:val="Compact"/>
              <w:jc w:val="left"/>
            </w:pPr>
            <w:r>
              <w:t xml:space="preserve">***</w:t>
            </w:r>
          </w:p>
        </w:tc>
        <w:tc>
          <w:p>
            <w:pPr>
              <w:pStyle w:val="Compact"/>
              <w:jc w:val="right"/>
            </w:pPr>
            <w:r>
              <w:t xml:space="preserve">0.0382</w:t>
            </w:r>
          </w:p>
        </w:tc>
        <w:tc>
          <w:p>
            <w:pPr>
              <w:pStyle w:val="Compact"/>
              <w:jc w:val="right"/>
            </w:pPr>
            <w:r>
              <w:t xml:space="preserve">0.0460</w:t>
            </w:r>
          </w:p>
        </w:tc>
      </w:tr>
      <w:tr>
        <w:tc>
          <w:p>
            <w:pPr>
              <w:pStyle w:val="Compact"/>
              <w:jc w:val="left"/>
            </w:pPr>
            <w:r>
              <w:t xml:space="preserve">Q2 - Q4</w:t>
            </w:r>
          </w:p>
        </w:tc>
        <w:tc>
          <w:p>
            <w:pPr>
              <w:pStyle w:val="Compact"/>
              <w:jc w:val="right"/>
            </w:pPr>
            <w:r>
              <w:t xml:space="preserve">0.0402</w:t>
            </w:r>
          </w:p>
        </w:tc>
        <w:tc>
          <w:p>
            <w:pPr>
              <w:pStyle w:val="Compact"/>
              <w:jc w:val="right"/>
            </w:pPr>
            <w:r>
              <w:t xml:space="preserve">0.0000</w:t>
            </w:r>
          </w:p>
        </w:tc>
        <w:tc>
          <w:p>
            <w:pPr>
              <w:pStyle w:val="Compact"/>
              <w:jc w:val="left"/>
            </w:pPr>
            <w:r>
              <w:t xml:space="preserve">***</w:t>
            </w:r>
          </w:p>
        </w:tc>
        <w:tc>
          <w:p>
            <w:pPr>
              <w:pStyle w:val="Compact"/>
              <w:jc w:val="right"/>
            </w:pPr>
            <w:r>
              <w:t xml:space="preserve">0.0331</w:t>
            </w:r>
          </w:p>
        </w:tc>
        <w:tc>
          <w:p>
            <w:pPr>
              <w:pStyle w:val="Compact"/>
              <w:jc w:val="right"/>
            </w:pPr>
            <w:r>
              <w:t xml:space="preserve">0.0473</w:t>
            </w:r>
          </w:p>
        </w:tc>
      </w:tr>
      <w:tr>
        <w:tc>
          <w:p>
            <w:pPr>
              <w:pStyle w:val="Compact"/>
              <w:jc w:val="left"/>
            </w:pPr>
            <w:r>
              <w:t xml:space="preserve">Q3 - Q4</w:t>
            </w:r>
          </w:p>
        </w:tc>
        <w:tc>
          <w:p>
            <w:pPr>
              <w:pStyle w:val="Compact"/>
              <w:jc w:val="right"/>
            </w:pPr>
            <w:r>
              <w:t xml:space="preserve">-0.0019</w:t>
            </w:r>
          </w:p>
        </w:tc>
        <w:tc>
          <w:p>
            <w:pPr>
              <w:pStyle w:val="Compact"/>
              <w:jc w:val="right"/>
            </w:pPr>
            <w:r>
              <w:t xml:space="preserve">0.5961</w:t>
            </w:r>
          </w:p>
        </w:tc>
        <w:tc>
          <w:p/>
        </w:tc>
        <w:tc>
          <w:p>
            <w:pPr>
              <w:pStyle w:val="Compact"/>
              <w:jc w:val="right"/>
            </w:pPr>
            <w:r>
              <w:t xml:space="preserve">-0.0091</w:t>
            </w:r>
          </w:p>
        </w:tc>
        <w:tc>
          <w:p>
            <w:pPr>
              <w:pStyle w:val="Compact"/>
              <w:jc w:val="right"/>
            </w:pPr>
            <w:r>
              <w:t xml:space="preserve">0.0052</w:t>
            </w:r>
          </w:p>
        </w:tc>
      </w:tr>
    </w:tbl>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LSD%20output-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TableCaption"/>
      </w:pPr>
      <w:r>
        <w:t xml:space="preserve">Table *: Pairwise t-test</w:t>
      </w:r>
    </w:p>
    <w:tbl>
      <w:tblPr>
        <w:tblStyle w:val="Table"/>
        <w:tblW w:type="pct" w:w="0.0"/>
        <w:tblLook w:firstRow="1" w:lastRow="0" w:firstColumn="0" w:lastColumn="0" w:noHBand="0" w:noVBand="0" w:val="0020"/>
        <w:tblCaption w:val="Table *: Pairwise t-test"/>
      </w:tblPr>
      <w:tblGrid/>
      <w:tr>
        <w:tc>
          <w:p/>
        </w:tc>
        <w:tc>
          <w:p>
            <w:pPr>
              <w:pStyle w:val="Compact"/>
              <w:jc w:val="right"/>
            </w:pPr>
            <w:r>
              <w:t xml:space="preserve">Q1</w:t>
            </w:r>
          </w:p>
        </w:tc>
        <w:tc>
          <w:p>
            <w:pPr>
              <w:pStyle w:val="Compact"/>
              <w:jc w:val="right"/>
            </w:pPr>
            <w:r>
              <w:t xml:space="preserve">Q2</w:t>
            </w:r>
          </w:p>
        </w:tc>
        <w:tc>
          <w:p>
            <w:pPr>
              <w:pStyle w:val="Compact"/>
              <w:jc w:val="right"/>
            </w:pPr>
            <w:r>
              <w:t xml:space="preserve">Q3</w:t>
            </w:r>
          </w:p>
        </w:tc>
      </w:tr>
      <w:tr>
        <w:tc>
          <w:p>
            <w:pPr>
              <w:pStyle w:val="Compact"/>
              <w:jc w:val="left"/>
            </w:pPr>
            <w:r>
              <w:t xml:space="preserve">Q2</w:t>
            </w:r>
          </w:p>
        </w:tc>
        <w:tc>
          <w:p>
            <w:pPr>
              <w:pStyle w:val="Compact"/>
              <w:jc w:val="right"/>
            </w:pPr>
            <w:r>
              <w:t xml:space="preserve">0</w:t>
            </w:r>
          </w:p>
        </w:tc>
        <w:tc>
          <w:p>
            <w:pPr>
              <w:pStyle w:val="Compact"/>
              <w:jc w:val="right"/>
            </w:pPr>
            <w:r>
              <w:t xml:space="preserve">NA</w:t>
            </w:r>
          </w:p>
        </w:tc>
        <w:tc>
          <w:p>
            <w:pPr>
              <w:pStyle w:val="Compact"/>
              <w:jc w:val="right"/>
            </w:pPr>
            <w:r>
              <w:t xml:space="preserve">NA</w:t>
            </w:r>
          </w:p>
        </w:tc>
      </w:tr>
      <w:tr>
        <w:tc>
          <w:p>
            <w:pPr>
              <w:pStyle w:val="Compact"/>
              <w:jc w:val="left"/>
            </w:pPr>
            <w:r>
              <w:t xml:space="preserve">Q3</w:t>
            </w:r>
          </w:p>
        </w:tc>
        <w:tc>
          <w:p>
            <w:pPr>
              <w:pStyle w:val="Compact"/>
              <w:jc w:val="right"/>
            </w:pPr>
            <w:r>
              <w:t xml:space="preserve">0</w:t>
            </w:r>
          </w:p>
        </w:tc>
        <w:tc>
          <w:p>
            <w:pPr>
              <w:pStyle w:val="Compact"/>
              <w:jc w:val="right"/>
            </w:pPr>
            <w:r>
              <w:t xml:space="preserve">0</w:t>
            </w:r>
          </w:p>
        </w:tc>
        <w:tc>
          <w:p>
            <w:pPr>
              <w:pStyle w:val="Compact"/>
              <w:jc w:val="right"/>
            </w:pPr>
            <w:r>
              <w:t xml:space="preserve">NA</w:t>
            </w:r>
          </w:p>
        </w:tc>
      </w:tr>
      <w:tr>
        <w:tc>
          <w:p>
            <w:pPr>
              <w:pStyle w:val="Compact"/>
              <w:jc w:val="left"/>
            </w:pPr>
            <w:r>
              <w:t xml:space="preserve">Q4</w:t>
            </w:r>
          </w:p>
        </w:tc>
        <w:tc>
          <w:p>
            <w:pPr>
              <w:pStyle w:val="Compact"/>
              <w:jc w:val="right"/>
            </w:pPr>
            <w:r>
              <w:t xml:space="preserve">0</w:t>
            </w:r>
          </w:p>
        </w:tc>
        <w:tc>
          <w:p>
            <w:pPr>
              <w:pStyle w:val="Compact"/>
              <w:jc w:val="right"/>
            </w:pPr>
            <w:r>
              <w:t xml:space="preserve">0</w:t>
            </w:r>
          </w:p>
        </w:tc>
        <w:tc>
          <w:p>
            <w:pPr>
              <w:pStyle w:val="Compact"/>
              <w:jc w:val="right"/>
            </w:pPr>
            <w:r>
              <w:t xml:space="preserve">0.5961272</w:t>
            </w:r>
          </w:p>
        </w:tc>
      </w:tr>
    </w:tbl>
    <w:p/>
    <w:p>
      <w:pPr>
        <w:pStyle w:val="TableCaption"/>
      </w:pPr>
      <w:r>
        <w:t xml:space="preserve">Table *: Pairwise t-test with Bonferroni correction</w:t>
      </w:r>
    </w:p>
    <w:tbl>
      <w:tblPr>
        <w:tblStyle w:val="Table"/>
        <w:tblW w:type="pct" w:w="0.0"/>
        <w:tblLook w:firstRow="1" w:lastRow="0" w:firstColumn="0" w:lastColumn="0" w:noHBand="0" w:noVBand="0" w:val="0020"/>
        <w:tblCaption w:val="Table *: Pairwise t-test with Bonferroni correction"/>
      </w:tblPr>
      <w:tblGrid/>
      <w:tr>
        <w:tc>
          <w:p/>
        </w:tc>
        <w:tc>
          <w:p>
            <w:pPr>
              <w:pStyle w:val="Compact"/>
              <w:jc w:val="right"/>
            </w:pPr>
            <w:r>
              <w:t xml:space="preserve">Q1</w:t>
            </w:r>
          </w:p>
        </w:tc>
        <w:tc>
          <w:p>
            <w:pPr>
              <w:pStyle w:val="Compact"/>
              <w:jc w:val="right"/>
            </w:pPr>
            <w:r>
              <w:t xml:space="preserve">Q2</w:t>
            </w:r>
          </w:p>
        </w:tc>
        <w:tc>
          <w:p>
            <w:pPr>
              <w:pStyle w:val="Compact"/>
              <w:jc w:val="right"/>
            </w:pPr>
            <w:r>
              <w:t xml:space="preserve">Q3</w:t>
            </w:r>
          </w:p>
        </w:tc>
      </w:tr>
      <w:tr>
        <w:tc>
          <w:p>
            <w:pPr>
              <w:pStyle w:val="Compact"/>
              <w:jc w:val="left"/>
            </w:pPr>
            <w:r>
              <w:t xml:space="preserve">Q2</w:t>
            </w:r>
          </w:p>
        </w:tc>
        <w:tc>
          <w:p>
            <w:pPr>
              <w:pStyle w:val="Compact"/>
              <w:jc w:val="right"/>
            </w:pPr>
            <w:r>
              <w:t xml:space="preserve">0</w:t>
            </w:r>
          </w:p>
        </w:tc>
        <w:tc>
          <w:p>
            <w:pPr>
              <w:pStyle w:val="Compact"/>
              <w:jc w:val="right"/>
            </w:pPr>
            <w:r>
              <w:t xml:space="preserve">NA</w:t>
            </w:r>
          </w:p>
        </w:tc>
        <w:tc>
          <w:p>
            <w:pPr>
              <w:pStyle w:val="Compact"/>
              <w:jc w:val="right"/>
            </w:pPr>
            <w:r>
              <w:t xml:space="preserve">NA</w:t>
            </w:r>
          </w:p>
        </w:tc>
      </w:tr>
      <w:tr>
        <w:tc>
          <w:p>
            <w:pPr>
              <w:pStyle w:val="Compact"/>
              <w:jc w:val="left"/>
            </w:pPr>
            <w:r>
              <w:t xml:space="preserve">Q3</w:t>
            </w:r>
          </w:p>
        </w:tc>
        <w:tc>
          <w:p>
            <w:pPr>
              <w:pStyle w:val="Compact"/>
              <w:jc w:val="right"/>
            </w:pPr>
            <w:r>
              <w:t xml:space="preserve">0</w:t>
            </w:r>
          </w:p>
        </w:tc>
        <w:tc>
          <w:p>
            <w:pPr>
              <w:pStyle w:val="Compact"/>
              <w:jc w:val="right"/>
            </w:pPr>
            <w:r>
              <w:t xml:space="preserve">0</w:t>
            </w:r>
          </w:p>
        </w:tc>
        <w:tc>
          <w:p>
            <w:pPr>
              <w:pStyle w:val="Compact"/>
              <w:jc w:val="right"/>
            </w:pPr>
            <w:r>
              <w:t xml:space="preserve">NA</w:t>
            </w:r>
          </w:p>
        </w:tc>
      </w:tr>
      <w:tr>
        <w:tc>
          <w:p>
            <w:pPr>
              <w:pStyle w:val="Compact"/>
              <w:jc w:val="left"/>
            </w:pPr>
            <w:r>
              <w:t xml:space="preserve">Q4</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bl>
    <w:bookmarkEnd w:id="39"/>
    <w:bookmarkStart w:id="40" w:name="section-13"/>
    <w:p>
      <w:pPr>
        <w:pStyle w:val="Heading2"/>
      </w:pPr>
      <w:r>
        <w:rPr>
          <w:rFonts w:ascii="Arial" w:hAnsi="Arial" w:eastAsia="Arial" w:cs="Arial"/>
          <w:i w:val="false"/>
          <w:b w:val="true"/>
          <w:u w:val="none"/>
          <w:sz w:val="20"/>
          <w:szCs w:val="20"/>
          <w:color w:val="7A378B"/>
        </w:rPr>
        <w:t xml:space="preserve">Other unused tests</w:t>
      </w:r>
    </w:p>
    <w:p>
      <w:pPr>
        <w:pStyle w:val="FirstParagraph"/>
      </w:pPr>
      <w:r>
        <w:t xml:space="preserve">The Kruskal-Wallis test was not used since the variance of this sample was found to be approximately equal. The K-sample permutation test was chosen to be used over the ANOVA because each of the quartiles exhibited heavy skewness.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Nathaniel Jones</dc:creator>
  <cp:keywords/>
  <dcterms:created xsi:type="dcterms:W3CDTF">2021-09-10T18:38:12Z</dcterms:created>
  <dcterms:modified xsi:type="dcterms:W3CDTF">2021-09-10T18:38:12Z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