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171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17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38" w:lineRule="exact" w:before="338" w:after="0"/>
        <w:ind w:left="0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56"/>
        </w:rPr>
        <w:t xml:space="preserve">CONCORRÊNCIA ELETRÔNICA </w:t>
      </w:r>
      <w:r>
        <w:rPr>
          <w:rFonts w:ascii="Times New Roman,Bold" w:hAnsi="Times New Roman,Bold" w:eastAsia="Times New Roman,Bold"/>
          <w:b/>
          <w:i w:val="0"/>
          <w:color w:val="5B5B5F"/>
          <w:sz w:val="40"/>
        </w:rPr>
        <w:t>43/2024</w:t>
      </w:r>
    </w:p>
    <w:p>
      <w:pPr>
        <w:autoSpaceDN w:val="0"/>
        <w:autoSpaceDE w:val="0"/>
        <w:widowControl/>
        <w:spacing w:line="322" w:lineRule="exact" w:before="384" w:after="0"/>
        <w:ind w:left="0" w:right="619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>CONTRATANTE</w:t>
      </w:r>
      <w:r>
        <w:rPr>
          <w:rFonts w:ascii="Times New Roman,Bold" w:hAnsi="Times New Roman,Bold" w:eastAsia="Times New Roman,Bold"/>
          <w:b/>
          <w:i w:val="0"/>
          <w:color w:val="405CA0"/>
          <w:sz w:val="26"/>
        </w:rPr>
        <w:t xml:space="preserve"> (UASG) </w:t>
      </w:r>
      <w:r>
        <w:br/>
      </w:r>
      <w:r>
        <w:rPr>
          <w:rFonts w:ascii="Times New Roman" w:hAnsi="Times New Roman" w:eastAsia="Times New Roman"/>
          <w:b w:val="0"/>
          <w:i w:val="0"/>
          <w:color w:val="5B5B5F"/>
          <w:sz w:val="28"/>
        </w:rPr>
        <w:t xml:space="preserve">988183 </w:t>
      </w:r>
    </w:p>
    <w:p>
      <w:pPr>
        <w:autoSpaceDN w:val="0"/>
        <w:autoSpaceDE w:val="0"/>
        <w:widowControl/>
        <w:spacing w:line="316" w:lineRule="exact" w:before="75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OBJETO </w:t>
      </w:r>
      <w:r>
        <w:br/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 xml:space="preserve">Contratação de empresa para execução dos serviços de terraplanagem, drenagem e </w:t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 xml:space="preserve">obras correntes, pavimentação em ASFALTO, urbanísticos e sinalização para a </w:t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 xml:space="preserve">REVITALIZAÇÃO DA ANTÔNIO ESTEVES JÚNIOR – TRECHO 01– Bairro </w:t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>GUARUJÁ, no município de Lages-SC</w:t>
      </w:r>
    </w:p>
    <w:p>
      <w:pPr>
        <w:autoSpaceDN w:val="0"/>
        <w:autoSpaceDE w:val="0"/>
        <w:widowControl/>
        <w:spacing w:line="314" w:lineRule="exact" w:before="2360" w:after="0"/>
        <w:ind w:left="0" w:right="41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>VALOR</w:t>
      </w: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TOTAL DA CONTRATAÇÃO </w:t>
      </w:r>
      <w:r>
        <w:rPr>
          <w:rFonts w:ascii="Times New Roman,Bold" w:hAnsi="Times New Roman,Bold" w:eastAsia="Times New Roman,Bold"/>
          <w:b/>
          <w:i w:val="0"/>
          <w:color w:val="5B5B5F"/>
          <w:sz w:val="28"/>
        </w:rPr>
        <w:t xml:space="preserve">R$ 220.929,24 </w:t>
      </w:r>
    </w:p>
    <w:p>
      <w:pPr>
        <w:autoSpaceDN w:val="0"/>
        <w:autoSpaceDE w:val="0"/>
        <w:widowControl/>
        <w:spacing w:line="294" w:lineRule="exact" w:before="702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DATA DA SESSÃO PÚBLICA </w:t>
      </w:r>
      <w:r>
        <w:br/>
      </w:r>
      <w:r>
        <w:rPr>
          <w:rFonts w:ascii="Times New Roman" w:hAnsi="Times New Roman" w:eastAsia="Times New Roman"/>
          <w:b w:val="0"/>
          <w:i w:val="0"/>
          <w:color w:val="5B5B5F"/>
          <w:sz w:val="28"/>
        </w:rPr>
        <w:t>15:30 horas do dia 05/06/2024</w:t>
      </w:r>
      <w:r>
        <w:rPr>
          <w:rFonts w:ascii="Times New Roman" w:hAnsi="Times New Roman" w:eastAsia="Times New Roman"/>
          <w:b w:val="0"/>
          <w:i w:val="0"/>
          <w:color w:val="5B5B5F"/>
          <w:sz w:val="28"/>
        </w:rPr>
        <w:t>(horário de Brasília)</w:t>
      </w:r>
    </w:p>
    <w:p>
      <w:pPr>
        <w:autoSpaceDN w:val="0"/>
        <w:autoSpaceDE w:val="0"/>
        <w:widowControl/>
        <w:spacing w:line="296" w:lineRule="exact" w:before="766" w:after="0"/>
        <w:ind w:left="0" w:right="504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CRITÉRIO DE JULGAMENTO: </w:t>
      </w:r>
      <w:r>
        <w:br/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>Menor preço global</w:t>
      </w:r>
    </w:p>
    <w:p>
      <w:pPr>
        <w:autoSpaceDN w:val="0"/>
        <w:autoSpaceDE w:val="0"/>
        <w:widowControl/>
        <w:spacing w:line="294" w:lineRule="exact" w:before="402" w:after="0"/>
        <w:ind w:left="0" w:right="648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MODO DE DISPUTA: </w:t>
      </w:r>
      <w:r>
        <w:br/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 xml:space="preserve">Aberto </w:t>
      </w:r>
    </w:p>
    <w:p>
      <w:pPr>
        <w:autoSpaceDN w:val="0"/>
        <w:autoSpaceDE w:val="0"/>
        <w:widowControl/>
        <w:spacing w:line="294" w:lineRule="exact" w:before="422" w:after="0"/>
        <w:ind w:left="0" w:right="345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405CA0"/>
          <w:sz w:val="32"/>
        </w:rPr>
        <w:t xml:space="preserve">PREFERÊNCIA ME/EPP/EQUIPARADAS: </w:t>
      </w:r>
      <w:r>
        <w:rPr>
          <w:rFonts w:ascii="Times New Roman" w:hAnsi="Times New Roman" w:eastAsia="Times New Roman"/>
          <w:b w:val="0"/>
          <w:i w:val="0"/>
          <w:color w:val="6C6C6C"/>
          <w:sz w:val="28"/>
        </w:rPr>
        <w:t>NÃO</w:t>
      </w:r>
    </w:p>
    <w:p>
      <w:pPr>
        <w:sectPr>
          <w:pgSz w:w="11906" w:h="16841"/>
          <w:pgMar w:top="1238" w:right="1042" w:bottom="108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exact" w:before="236" w:after="0"/>
        <w:ind w:left="0" w:right="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PROCESSO Nº 90/2024</w:t>
      </w:r>
    </w:p>
    <w:p>
      <w:pPr>
        <w:autoSpaceDN w:val="0"/>
        <w:autoSpaceDE w:val="0"/>
        <w:widowControl/>
        <w:spacing w:line="332" w:lineRule="exact" w:before="22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EDITAL DE CONCORRÊNCIA ELETRÔNICA Nº 43/2024 </w:t>
      </w:r>
    </w:p>
    <w:p>
      <w:pPr>
        <w:autoSpaceDN w:val="0"/>
        <w:autoSpaceDE w:val="0"/>
        <w:widowControl/>
        <w:spacing w:line="334" w:lineRule="exact" w:before="21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Torna-se público que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PREFEITURA DO MUNICÍPIO DE LAGES / SECRETARIA 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MUNICIPAL DE OBRAS,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realizará licitação na modalidade CONCORRÊNCIA ELETRÔNICA,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nos termos da Lei nº 14.133, de 1º de abril de 2021, do Decreto municipal nº 20.682, de 21 de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dezembro de 2023, e demais legislação aplicável e, ainda, de acordo com as condições estabelecidas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neste Edital, adotando-se como critério de julgamento o MENOR PREÇO GLOBAL.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 sessão pública será real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izada através da plata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 Portal de Compras do Governo Federal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(Comprasnet), no endereço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www.gov.br/compras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sendo os trabalhos conduzidos pelo Agente de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Contratação Henrique Rober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to Arruda Menegueli,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designado(a) pela Portaria nº 277/2024.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24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DO OBJETO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Contratação de empresa para execução dos serviços de terraplanagem, drenagem e obras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correntes, pavimentação em ASFALTO, urbanísticos e sinalização para a REVITALIZAÇÃO DA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ANTÔNIO ESTEVES JÚNIOR – TRECHO 01– Bairro GUARUJÁ, no município de Lages-SC,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conforme condições, quantidades e exigências estabelecidas neste Edital e seus anexos.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PARTICIPAÇÃO NA LICITAÇÃO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Poderão participar desta licitação os interessados que estiverem previamente credenciados no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Sistema de Cadastramento Unificado de Fornecedores - SICAF e no Sistema de Compras do Governo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Federal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www.gov.br/compras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licitante responsabil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iza-se exclusiva e formalmente pelas transações efetuadas em seu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nome, assume como firmes e verdadeiras suas propostas e seus lances, inclusive os atos praticados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diretamente ou por seu representante, excluída a responsabilidade do provedor do sistema ou do órgão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entidade promotora da licitação por eventuais danos decorrentes de uso indevido das credenciais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acesso, ainda que por terceiros.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É de responsabilidade do cadastrado conferir a exatidão dos seus dados cadastrais nos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Sistemas relacionados no item anterior e mantê-los atualizados junto aos órgãos responsáveis pela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informação, devendo proceder, imediatamente, à correção ou à alteração dos registros tão logo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identifique incorreção ou aqueles se tornem desatualizados.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não observância do disposto no item anterior poderá ensejar desclassificação no momento </w:t>
      </w:r>
    </w:p>
    <w:p>
      <w:pPr>
        <w:autoSpaceDN w:val="0"/>
        <w:autoSpaceDE w:val="0"/>
        <w:widowControl/>
        <w:spacing w:line="281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habilitação.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poderão disputar esta licitação: </w:t>
      </w:r>
    </w:p>
    <w:p>
      <w:pPr>
        <w:autoSpaceDN w:val="0"/>
        <w:tabs>
          <w:tab w:pos="1446" w:val="left"/>
        </w:tabs>
        <w:autoSpaceDE w:val="0"/>
        <w:widowControl/>
        <w:spacing w:line="281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Aquele que não atenda às condições deste Edital e seu(s) anexo(s);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Autor do anteprojeto, do projeto básico ou do projeto executivo, pessoa física ou </w:t>
      </w:r>
    </w:p>
    <w:p>
      <w:pPr>
        <w:autoSpaceDN w:val="0"/>
        <w:autoSpaceDE w:val="0"/>
        <w:widowControl/>
        <w:spacing w:line="278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jurídica, quando a licitação versar sobre serviços ou fornecimento de bens a ele relacionados; </w:t>
      </w:r>
    </w:p>
    <w:p>
      <w:pPr>
        <w:autoSpaceDN w:val="0"/>
        <w:autoSpaceDE w:val="0"/>
        <w:widowControl/>
        <w:spacing w:line="305" w:lineRule="auto" w:before="7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>MUNICÍPIO DE LAGES | ESTADO DE SANTA CATARINA</w:t>
      </w:r>
    </w:p>
    <w:p>
      <w:pPr>
        <w:autoSpaceDN w:val="0"/>
        <w:autoSpaceDE w:val="0"/>
        <w:widowControl/>
        <w:spacing w:line="276" w:lineRule="exact" w:before="0" w:after="0"/>
        <w:ind w:left="1818" w:right="0" w:firstLine="0"/>
        <w:jc w:val="left"/>
      </w:pP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</w:p>
    <w:p>
      <w:pPr>
        <w:autoSpaceDN w:val="0"/>
        <w:autoSpaceDE w:val="0"/>
        <w:widowControl/>
        <w:spacing w:line="276" w:lineRule="exact" w:before="0" w:after="0"/>
        <w:ind w:left="0" w:right="346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49"/>
        <w:gridCol w:w="3249"/>
        <w:gridCol w:w="3249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0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2.5.3.</w:t>
            </w:r>
          </w:p>
        </w:tc>
        <w:tc>
          <w:tcPr>
            <w:tcW w:type="dxa" w:w="860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Empresa, isoladamente ou em consórcio, responsável pela elaboração do projeto </w:t>
            </w:r>
          </w:p>
        </w:tc>
      </w:tr>
      <w:tr>
        <w:trPr>
          <w:trHeight w:hRule="exact" w:val="132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" w:after="0"/>
              <w:ind w:left="276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básico ou do projeto executivo, ou empresa da qual o autor do projeto seja dirigente, gerente,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controlador, acionista ou detentor de mais de 5% (cinco por cento) do capital com direito a voto,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responsável técnico ou subcontratado, quando a licitação versar sobre serviços ou fornecimento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bens a ela necessários; </w:t>
            </w:r>
          </w:p>
        </w:tc>
      </w:tr>
      <w:tr>
        <w:trPr>
          <w:trHeight w:hRule="exact" w:val="38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2.5.4.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Pessoa física ou jurídica que se encontre, ao tempo da licitação, impossibilitada de </w:t>
            </w:r>
          </w:p>
        </w:tc>
      </w:tr>
      <w:tr>
        <w:trPr>
          <w:trHeight w:hRule="exact" w:val="392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participar da licitação em decorrência de sanção que lhe foi imposta; </w:t>
            </w:r>
          </w:p>
        </w:tc>
      </w:tr>
    </w:tbl>
    <w:p>
      <w:pPr>
        <w:autoSpaceDN w:val="0"/>
        <w:autoSpaceDE w:val="0"/>
        <w:widowControl/>
        <w:spacing w:line="276" w:lineRule="auto" w:before="60" w:after="0"/>
        <w:ind w:left="596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2.5.4.1.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impedimento de que trata o subitem anterior será também aplicado ao licitante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atue em substituição a outra pessoa, física ou jurídica, com o intuito de burlar a efetividade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sanção a ela aplicada, inclusive a sua controladora, controlada ou coligada, desde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devidamente comprovado o ilícito ou a utilização fraudulenta da personalidade jurídica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licitante.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Aquele que mantenha vínculo de natureza técnica, comercial, econômica, financeira,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trabalhista ou civil com dirigente do órgão ou entidade contratante ou com agente público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desempenhe função na licitação ou atue na fiscalização ou na gestão do contrato, ou que deles seja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cônjuge, companheiro ou parente em linha reta, colateral ou por afinidade, até o terceiro grau;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Empresas controladoras, controladas ou coligadas, nos termos da Lei nº 6.404, de 15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dezembro de 1976, concorrendo entre si;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2.5.7.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Pessoa física ou jurídica que, nos 5 (cinco) anos anteriores à divulgação do edital, tenha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sido condenada judicialmente, com trânsito em julgado, por exploração de trabalho infantil, por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submissão de trabalhadores a condições análogas às de escravo ou por contratação de adolescentes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nos casos vedados pela legislação trabalhista;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2.5.8.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Agente público do órgão ou entidade licitante; </w:t>
      </w:r>
    </w:p>
    <w:p>
      <w:pPr>
        <w:autoSpaceDN w:val="0"/>
        <w:autoSpaceDE w:val="0"/>
        <w:widowControl/>
        <w:spacing w:line="276" w:lineRule="auto" w:before="116" w:after="0"/>
        <w:ind w:left="596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2.5.8.1.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vedação de que trata o subitem anterior estende-se a terceiro que auxilie a condução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contratação na qualidade de integrante de equipe de apoio, profissional especializado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funcionário ou representante de empresa que preste assessoria técnica.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2.5.9.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Organizações da Sociedade Civil de Interesse Público - OSCIP, atuando nessa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condição;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2.5.10.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poderá participar, direta ou indiretamente, da licitação ou da execução do contrato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agente público do órgão ou entidade contratante, devendo ser observadas as situações que possam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configurar conflito de interesses no exercício ou após o exercício do cargo ou emprego, nos termos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legislação que disciplina a matéria, conforme § 1º do art. 9º da Lei nº 14.133, de 2021.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critério da Administração e exclusivamente a seu serviço, o autor dos projetos e a empresa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que se referem os itens 2.5.2 e 2.5.3 poderão participar no apoio das atividades de planejamento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contratação, de execução da licitação ou de gestão do contrato, desde que sob supervisão exclusiva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agentes públicos do órgão ou entidade.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Equiparam-se aos autores do projeto as empresas integrantes do mesmo grupo econômico.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71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2.8.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disposto nos itens 2.5.2 e 2.5.3 não impede a licitação ou a contratação de serviço que inclua </w:t>
            </w:r>
          </w:p>
        </w:tc>
      </w:tr>
      <w:tr>
        <w:trPr>
          <w:trHeight w:hRule="exact" w:val="70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como encargo do contratado a elaboração do projeto básico e do projeto executivo, nas contratações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integradas, e do projeto executivo, nos demais regimes de execução.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2.9.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 licitações e contratações realizadas no âmbito de projetos e programas parcialmente </w:t>
            </w:r>
          </w:p>
        </w:tc>
      </w:tr>
      <w:tr>
        <w:trPr>
          <w:trHeight w:hRule="exact" w:val="133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financiados por agência oficial de cooperação estrangeira ou por organismo financeiro internacional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 recursos do financiamento ou da contrapartida nacional, não poderá participar pessoa física ou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jurídica que integre o rol de pessoas sancionadas por essas entidades ou que seja declarada inidônea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nos termos da Lei nº 14.133/2021. </w:t>
            </w:r>
          </w:p>
        </w:tc>
      </w:tr>
    </w:tbl>
    <w:p>
      <w:pPr>
        <w:autoSpaceDN w:val="0"/>
        <w:autoSpaceDE w:val="0"/>
        <w:widowControl/>
        <w:spacing w:line="276" w:lineRule="auto" w:before="5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participação nos itens Exclusivos ou da Cota Reservada, bem como a obtenção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benefícios previstos na Lei Complementar nº 123, de 14 de dezembro de 2006, fica limitada às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microempresas e às empresas de pequeno porte que, no ano-calendário de realização da licitação,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ainda não tenham celebrado contratos com a Administração Pública cujos valores somados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extrapolem a receita bruta máxima admitida para fins de enquadramento como empresa de pequeno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porte.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APRESENTAÇÃO DA PROPOSTA E DOS DOCUMENTOS DE HABILITAÇÃO </w:t>
      </w:r>
    </w:p>
    <w:p>
      <w:pPr>
        <w:autoSpaceDN w:val="0"/>
        <w:tabs>
          <w:tab w:pos="738" w:val="left"/>
        </w:tabs>
        <w:autoSpaceDE w:val="0"/>
        <w:widowControl/>
        <w:spacing w:line="318" w:lineRule="exact" w:before="10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presente licitação, a fase de habilitação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sucederá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as fases de apresentação de propostas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lances e de julgamento.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encaminharão, exclusivamente por meio do sistema eletrônico, a proposta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preço ou o percentual de desconto, conforme o critério de julgamento adotado neste Edital, até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 e o horário estabelecidos para abertura da sessão pública.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a fase de habilitação anteceda as fases de apresentação de propostas e lances, os licitantes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encaminharão, na forma e no prazo estabelecidos no item anterior, simultaneamente os documentos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habilitação e a proposta com o preço ou o percentual de desconto, observado o disposto nos itens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e 7.11.1 deste Edital.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cadastramento da proposta inicial, o licitante declarará, em campo próprio do sistema, que: </w:t>
      </w:r>
    </w:p>
    <w:p>
      <w:pPr>
        <w:autoSpaceDN w:val="0"/>
        <w:autoSpaceDE w:val="0"/>
        <w:widowControl/>
        <w:spacing w:line="278" w:lineRule="auto" w:before="286" w:after="0"/>
        <w:ind w:left="7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3.4.1.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Está ciente e concorda com as condições contidas no edital e seus anexos, bem como </w:t>
      </w:r>
    </w:p>
    <w:p>
      <w:pPr>
        <w:autoSpaceDN w:val="0"/>
        <w:autoSpaceDE w:val="0"/>
        <w:widowControl/>
        <w:spacing w:line="278" w:lineRule="auto" w:before="4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que a proposta apresentada compreende a integralidade dos custos para atendimento dos direitos </w:t>
      </w:r>
    </w:p>
    <w:p>
      <w:pPr>
        <w:autoSpaceDN w:val="0"/>
        <w:autoSpaceDE w:val="0"/>
        <w:widowControl/>
        <w:spacing w:line="278" w:lineRule="auto" w:before="3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trabalhistas assegurados na Constituição Federal, nas leis trabalhistas, nas normas infralegais, nas </w:t>
      </w:r>
    </w:p>
    <w:p>
      <w:pPr>
        <w:autoSpaceDN w:val="0"/>
        <w:autoSpaceDE w:val="0"/>
        <w:widowControl/>
        <w:spacing w:line="278" w:lineRule="auto" w:before="4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convenções coletivas de trabalho e nos termos de ajustamento de conduta vigentes na data de sua </w:t>
      </w:r>
    </w:p>
    <w:p>
      <w:pPr>
        <w:autoSpaceDN w:val="0"/>
        <w:autoSpaceDE w:val="0"/>
        <w:widowControl/>
        <w:spacing w:line="278" w:lineRule="auto" w:before="3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entrega em definitivo e que cumpre plenamente os requisitos de habilitação definidos no instrumento </w:t>
      </w:r>
    </w:p>
    <w:p>
      <w:pPr>
        <w:autoSpaceDN w:val="0"/>
        <w:autoSpaceDE w:val="0"/>
        <w:widowControl/>
        <w:spacing w:line="278" w:lineRule="auto" w:before="4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convocatório;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324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emprega menor de 18 anos em trabalho noturno, perigoso ou insalubre e não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emprega menor de 16 anos, salvo menor, a partir de 14 anos, na condição de aprendiz, nos termos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artigo 7°, XXXIII, da Constituição;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88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3.4.3.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possui empregados executando trabalho degradante ou forçado, observando o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disposto nos incisos III e IV do art. 1º e no inciso III do art. 5º da Constituição Federal; 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3.4.4.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Cumpre as exigências de reserva de cargos para pessoa com deficiência e para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reabilitado da Previdência Social, previstas em lei e em outras normas específicas. </w:t>
            </w:r>
          </w:p>
        </w:tc>
      </w:tr>
      <w:tr>
        <w:trPr>
          <w:trHeight w:hRule="exact" w:val="3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3.5.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licitante organizado em cooperativa deverá declarar, ainda, em campo próprio do sistema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eletrônico, que cumpre os requisitos estabelecidos no artigo 16 da Lei nº 14.133, de 2021. </w:t>
            </w:r>
          </w:p>
        </w:tc>
      </w:tr>
      <w:tr>
        <w:trPr>
          <w:trHeight w:hRule="exact" w:val="39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3.6.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fornecedor enquadrado como microempresa, empresa de pequeno porte ou sociedade </w:t>
            </w:r>
          </w:p>
        </w:tc>
      </w:tr>
      <w:tr>
        <w:trPr>
          <w:trHeight w:hRule="exact" w:val="1328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cooperativa deverá declarar, ainda, em campo próprio do sistema eletrônico, que cumpre os requisitos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estabelecidos no artigo 3° da Lei Complementar nº 123, de 2006, estando apto a usufruir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tratamento favorecido estabelecido em seus arts. 42 a 49, observado o disposto nos §§ 1º ao 3º do art.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4º, da Lei n.º 14.133, de 2021. </w:t>
            </w:r>
          </w:p>
        </w:tc>
      </w:tr>
      <w:tr>
        <w:trPr>
          <w:trHeight w:hRule="exact" w:val="36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3.6.1.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item exclusivo para participação de microempresas e empresas de pequeno porte,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assinalação do campo “não” impedirá o prosseguimento no certame, para aquele item; </w:t>
            </w:r>
          </w:p>
        </w:tc>
      </w:tr>
      <w:tr>
        <w:trPr>
          <w:trHeight w:hRule="exact" w:val="414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3.6.2.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Nos itens em que a participação não for exclusiva para microempresas e empresas de 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3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pequeno porte, a assinalação do campo “não” apenas produzirá o efeito de o licitante não ter direito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ao tratamento favorecido previsto na Lei Complementar nº 123, de 2006, mesmo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microempresa, empresa de pequeno porte ou sociedade cooperativa.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falsidade da declaração de que trata os itens 3.4 ou 3.6 sujeitará o licitante às sanções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previstas na Lei nº 14.133, de 2021, e neste Edital.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3.8.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poderão retirar ou substituir a proposta ou, na hipótese de a fase de habilitação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anteceder as fases de apresentação de propostas e lances e de julgamento, os documentos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 anteriormente inseridos no sistema, até a abertura da sessão pública.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3.9.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haverá ordem de classificação na etapa de apresentação da proposta e dos documentos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 pelo licitante, o que ocorrerá somente após os procedimentos de abertura da sessão pública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da fase de envio de lances.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Serão disponibilizados para acesso público os documentos que compõem a proposta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licitantes convocados para apresentação de propostas, após a fase de envio de lances. </w:t>
      </w:r>
    </w:p>
    <w:p>
      <w:pPr>
        <w:autoSpaceDN w:val="0"/>
        <w:autoSpaceDE w:val="0"/>
        <w:widowControl/>
        <w:spacing w:line="278" w:lineRule="auto" w:before="116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Desde que disponibilizada a funcionalidade no sistema, o licitante poderá parametrizar o seu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valor final mínimo ou o seu percentual de desconto máximo quando do cadastramento da proposta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obedecerá às seguintes regras: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aplicação do intervalo mínimo de diferença de valores ou de percentuais entre 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lances, que incidirá tanto em relação aos lances intermediários quanto em relação ao lance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cobrir a melhor oferta; e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lances serão de envio automático pelo sistema, respeitado o valor final mínimo,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estabelecido, e o intervalo de que trata o subitem acima. </w:t>
      </w:r>
    </w:p>
    <w:p>
      <w:pPr>
        <w:autoSpaceDN w:val="0"/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valor final mínimo ou o percentual de desconto final máximo parametrizado no sistema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poderá ser alterado pelo fornecedor durante a fase de disputa, sendo vedado: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47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49"/>
        <w:gridCol w:w="3249"/>
        <w:gridCol w:w="3249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6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3.12.1.</w:t>
            </w:r>
          </w:p>
        </w:tc>
        <w:tc>
          <w:tcPr>
            <w:tcW w:type="dxa" w:w="854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Valor superior a lance já registrado pelo fornecedor no sistema, quando adotado o </w:t>
            </w:r>
          </w:p>
        </w:tc>
      </w:tr>
      <w:tr>
        <w:trPr>
          <w:trHeight w:hRule="exact" w:val="3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critério de julgamento por menor preço; e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3.12.2.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Percentual de desconto inferior a lance já registrado pelo fornecedor no sistema, </w:t>
            </w:r>
          </w:p>
        </w:tc>
      </w:tr>
      <w:tr>
        <w:trPr>
          <w:trHeight w:hRule="exact" w:val="3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quando adotado o critério de julgamento por maior desconto. </w:t>
            </w:r>
          </w:p>
        </w:tc>
      </w:tr>
    </w:tbl>
    <w:p>
      <w:pPr>
        <w:autoSpaceDN w:val="0"/>
        <w:autoSpaceDE w:val="0"/>
        <w:widowControl/>
        <w:spacing w:line="276" w:lineRule="auto" w:before="5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valor final mínimo ou o percentual de desconto final máximo parametrizado na forma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item 3.11 possuirá caráter sigiloso para os demais fornecedores e para o órgão ou entidade promotora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licitação, podendo ser disponibilizado estrita e permanentemente aos órgãos de controle externo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interno. </w:t>
      </w:r>
    </w:p>
    <w:p>
      <w:pPr>
        <w:autoSpaceDN w:val="0"/>
        <w:autoSpaceDE w:val="0"/>
        <w:widowControl/>
        <w:spacing w:line="276" w:lineRule="auto" w:before="118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Caberá ao licitante interessado em participar da licitação acompanhar as operações no sistema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eletrônico durante o processo licitatório e se responsabilizar pelo ônus decorrente da perda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negócios diante da inobservância de mensagens emitidas pela Administração ou de sua desconexão.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deverá comunicar imediatamente ao provedor do sistema qualquer acontecimento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possa comprometer o sigilo ou a segurança, para imediato bloqueio de acesso.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DO PREENCHIMENTO DA PROPOSTA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deverá enviar sua proposta mediante o preenchimento, no sistema eletrônico,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seguintes campos: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Valor unitário e total do item;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Quantidade cotada; </w:t>
      </w:r>
    </w:p>
    <w:p>
      <w:pPr>
        <w:autoSpaceDN w:val="0"/>
        <w:autoSpaceDE w:val="0"/>
        <w:widowControl/>
        <w:spacing w:line="278" w:lineRule="auto" w:before="118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4.1.2.1.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NÃO poderá oferecer proposta em quantitativo inferior ao máximo previsto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para contratação.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Todas as especificações do objeto contidas na proposta vinculam o licitante.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Nos valores propostos estarão inclusos todos os custos operacionais, encargos previdenciários,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trabalhistas, tributários, comerciais e quaisquer outros que incidam direta ou indiretamente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execução do objeto.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preços ofertados, tanto na proposta inicial, quanto na etapa de lances, serão de exclusiva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responsabilidade do licitante, não lhe assistindo o direito de pleitear qualquer alteração, sob alegação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erro, omissão ou qualquer outro pretexto.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o regime tributário da empresa implicar o recolhimento de tributos em percentuais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variáveis, a cotação adequada será a que corresponde à média dos efetivos recolhimentos da empresa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nos últimos doze meses.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Independentemente do percentual de tributo inserido na planilha, no pagamento serão retidos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fonte os percentuais estabelecidos na legislação vigente.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apresentação das propostas implica obrigatoriedade do cumprimento das disposições nelas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contidas, em conformidade com o que dispõe o Termo de Referência, assumindo o proponente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compromisso de executar o objeto licitado nos seus termos, bem como de fornecer os materiais,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434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equipamentos, ferramentas e utensílios necessários, em quantidades e qualidades adequadas à perfeita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execução contratual, promovendo, quando requerido, sua substituição. </w:t>
      </w:r>
    </w:p>
    <w:p>
      <w:pPr>
        <w:autoSpaceDN w:val="0"/>
        <w:tabs>
          <w:tab w:pos="1446" w:val="left"/>
        </w:tabs>
        <w:autoSpaceDE w:val="0"/>
        <w:widowControl/>
        <w:spacing w:line="318" w:lineRule="exact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prazo de validade da proposta não será inferior a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60 (sessenta)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dias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contar da data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sua apresentação.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4.8.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descumprimento das regras supramencionadas pela Administração por parte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contratados pode ensejar a responsabilização pelo Tribunal de Contas do Estado, após o devido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 legal, gerar as seguintes consequências: assinatura de prazo para a adoção das medidas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necessárias ao exato cumprimento da lei, nos termos do art. 71, inciso IX, da Constituição;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condenação dos agentes públicos responsáveis e da empresa contratada ao pagamento dos prejuízos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ao erário, caso verificada a ocorrência de superfaturamento por sobrepreço na execução do contrato. </w:t>
      </w:r>
    </w:p>
    <w:p>
      <w:pPr>
        <w:autoSpaceDN w:val="0"/>
        <w:tabs>
          <w:tab w:pos="596" w:val="left"/>
          <w:tab w:pos="1224" w:val="left"/>
          <w:tab w:pos="2854" w:val="left"/>
          <w:tab w:pos="3484" w:val="left"/>
          <w:tab w:pos="4750" w:val="left"/>
          <w:tab w:pos="7018" w:val="left"/>
          <w:tab w:pos="7780" w:val="left"/>
          <w:tab w:pos="9502" w:val="left"/>
        </w:tabs>
        <w:autoSpaceDE w:val="0"/>
        <w:widowControl/>
        <w:spacing w:line="320" w:lineRule="exact" w:before="57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ABERTURA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SESSÃO,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CLASSIFICAÇÃO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PROPOSTAS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FORMULAÇÃO DE LANCES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abertura da presente licitação dar-se-á automaticamente em sessão pública, por meio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sistema eletrônico, na data, horário e local indicados neste Edital.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poderão retirar ou substituir a proposta ou os documentos de habilitação, quando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o caso, anteriormente inseridos no sistema, até a abertura da sessão pública.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sistema disponibilizará campo próprio para troca de mensagens entre o Pregoeiro/Agente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Contratação e os licitantes.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Iniciada a etapa competitiva, os licitantes deverão encaminhar lances exclusivamente por meio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sistema eletrônico, sendo imediatamente informados do seu recebimento e do valor consignado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registro.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lance deverá ser ofertado pelo valor UNITÁRIO do item.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5.6.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poderão oferecer lances sucessivos, observando o horário fixado para abertura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sessão e as regras estabelecidas no Edital.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5.7.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somente poderá oferecer lance de valor inferior ou percentual de desconto superior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ao último por ele ofertado e registrado pelo sistema, conforme critério de julgamento adotado. </w:t>
      </w:r>
    </w:p>
    <w:p>
      <w:pPr>
        <w:autoSpaceDN w:val="0"/>
        <w:tabs>
          <w:tab w:pos="738" w:val="left"/>
        </w:tabs>
        <w:autoSpaceDE w:val="0"/>
        <w:widowControl/>
        <w:spacing w:line="322" w:lineRule="exact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5.8.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intervalo mínimo de diferença de valores ou percentuais entre os lances, que incidirá tanto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relação aos lances intermediários quanto em relação à proposta que cobrir a melhor oferta deverá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ser de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R$ 1,00 (um real).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0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5.9.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poderá, uma única vez, excluir seu último lance ofertado, no intervalo de quinze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segundos após o registro no sistema, na hipótese de lance inconsistente ou inexequível.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procedimento seguirá de acordo com o modo de disputa adotado.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seja adotado para o envio de lances na licitação o modo de disputa “aberto”, os licitantes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apresentarão lances públicos e sucessivos, com prorrogações.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868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50"/>
        <w:gridCol w:w="3250"/>
        <w:gridCol w:w="3250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6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5.11.1.</w:t>
            </w:r>
          </w:p>
        </w:tc>
        <w:tc>
          <w:tcPr>
            <w:tcW w:type="dxa" w:w="854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etapa de lances da sessão pública terá duração de dez minutos e, após isso, será </w:t>
            </w:r>
          </w:p>
        </w:tc>
      </w:tr>
      <w:tr>
        <w:trPr>
          <w:trHeight w:hRule="exact" w:val="70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prorrogada automaticamente pelo sistema quando houver lance ofertado nos últimos dois minutos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 período de duração da sessão pública.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5.11.2.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prorrogação automática da etapa de lances, de que trata o subitem anterior, será de </w:t>
            </w:r>
          </w:p>
        </w:tc>
      </w:tr>
      <w:tr>
        <w:trPr>
          <w:trHeight w:hRule="exact" w:val="6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dois minutos e ocorrerá sucessivamente sempre que houver lances enviados nesse período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prorrogação, inclusive no caso de lances intermediários. </w:t>
            </w:r>
          </w:p>
        </w:tc>
      </w:tr>
      <w:tr>
        <w:trPr>
          <w:trHeight w:hRule="exact" w:val="3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5.11.3.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havendo novos lances na forma estabelecida nos itens anteriores, a sessão pública </w:t>
            </w:r>
          </w:p>
        </w:tc>
      </w:tr>
      <w:tr>
        <w:trPr>
          <w:trHeight w:hRule="exact" w:val="688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encerrar-se-á automaticamente, e o sistema ordenará e divulgará os lances conforme a ordem final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classificação.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5.11.4.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Definida a melhor proposta, se a diferença em relação à proposta classificada em </w:t>
            </w:r>
          </w:p>
        </w:tc>
      </w:tr>
      <w:tr>
        <w:trPr>
          <w:trHeight w:hRule="exact" w:val="100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276" w:right="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segundo lugar for de pelo menos 5% (cinco por cento), o Pregoeiro/Agente de Contratação,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auxiliado pela equipe de apoio, poderá admitir o reinício da disputa aberta, para a definição das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demais colocações.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5.11.5.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Após o reinício previsto no item supra, os licitantes serão convocados para apresentar </w:t>
            </w:r>
          </w:p>
        </w:tc>
      </w:tr>
      <w:tr>
        <w:trPr>
          <w:trHeight w:hRule="exact" w:val="392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lances intermediários. </w:t>
            </w:r>
          </w:p>
        </w:tc>
      </w:tr>
    </w:tbl>
    <w:p>
      <w:pPr>
        <w:autoSpaceDN w:val="0"/>
        <w:autoSpaceDE w:val="0"/>
        <w:widowControl/>
        <w:spacing w:line="278" w:lineRule="auto" w:before="5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seja adotado para o envio de lances na licitação o modo de disputa “aberto e fechado”,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apresentarão lances públicos e sucessivos, com lance final e fechado.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etapa de lances da sessão pública terá duração inicial de quinze minutos. Após esse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prazo, o sistema encaminhará aviso de fechamento iminente dos lances, após o que transcorrerá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período de até dez minutos, aleatoriamente determinado, findo o qual será automaticamente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encerrada a recepção de lances.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Encerrado o prazo previsto no subitem anterior, o sistema abrirá oportunidade para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autor da oferta de valor mais baixo e os das ofertas com preços até 10% (dez por cento) superiores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àquela possam ofertar um lance final e fechado em até cinco minutos, o qual será sigiloso até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encerramento deste prazo.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procedimento de que trata o subitem supra, o licitante poderá optar por manter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seu último lance da etapa aberta, ou por ofertar melhor lance.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havendo pelo menos três ofertas nas condições definidas neste item, poderão 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autores dos melhores lances subsequentes, na ordem de classificação, até o máximo de três,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oferecer um lance final e fechado em até cinco minutos, o qual será sigiloso até o encerramento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deste prazo.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5.12.5.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Após o término dos prazos estabelecidos nos itens anteriores, o sistema ordenará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divulgará os lances segundo a ordem crescente de valores.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seja adotado para o envio de lances na licitação o modo de disputa “fechado e aberto”,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poderão participar da etapa aberta somente os licitantes que apresentarem a proposta de menor preço/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maior percentual de desconto e os das propostas até 10% (dez por cento) superiores/inferiores àquela,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que os licitantes apresentarão lances públicos e sucessivos, até o encerramento da sessão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eventuais prorrogações.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39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50"/>
        <w:gridCol w:w="3250"/>
        <w:gridCol w:w="3250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6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5.13.1.</w:t>
            </w:r>
          </w:p>
        </w:tc>
        <w:tc>
          <w:tcPr>
            <w:tcW w:type="dxa" w:w="854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havendo pelo menos 3 (três) propostas nas condições definidas no item 5.13, </w:t>
            </w:r>
          </w:p>
        </w:tc>
      </w:tr>
      <w:tr>
        <w:trPr>
          <w:trHeight w:hRule="exact" w:val="70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poderão os licitantes que apresentaram as três melhores propostas, consideradas as empatadas,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oferecer novos lances sucessivos.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5.13.2.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etapa de lances da sessão pública terá duração de dez minutos e, após isso, será </w:t>
            </w:r>
          </w:p>
        </w:tc>
      </w:tr>
      <w:tr>
        <w:trPr>
          <w:trHeight w:hRule="exact" w:val="6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prorrogada automaticamente pelo sistema quando houver lance ofertado nos últimos dois minutos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 período de duração da sessão pública. </w:t>
            </w:r>
          </w:p>
        </w:tc>
      </w:tr>
      <w:tr>
        <w:trPr>
          <w:trHeight w:hRule="exact" w:val="3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5.13.3.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prorrogação automática da etapa de lances, de que trata o subitem anterior, será de </w:t>
            </w:r>
          </w:p>
        </w:tc>
      </w:tr>
      <w:tr>
        <w:trPr>
          <w:trHeight w:hRule="exact" w:val="688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dois minutos e ocorrerá sucessivamente sempre que houver lances enviados nesse período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prorrogação, inclusive no caso de lances intermediários.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5.13.4.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havendo novos lances na forma estabelecida nos itens anteriores, a sessão pública </w:t>
            </w:r>
          </w:p>
        </w:tc>
      </w:tr>
      <w:tr>
        <w:trPr>
          <w:trHeight w:hRule="exact" w:val="6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encerrar-se-á automaticamente, e o sistema ordenará e divulgará os lances conforme a ordem final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classificação.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5.13.5.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Definida a melhor proposta, se a diferença em relação à proposta classificada em </w:t>
            </w:r>
          </w:p>
        </w:tc>
      </w:tr>
      <w:tr>
        <w:trPr>
          <w:trHeight w:hRule="exact" w:val="102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276" w:right="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segundo lugar for de pelo menos 5% (cinco por cento), o Pregoeiro/Agente de Contratação,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auxiliado pela equipe de apoio, poderá admitir o reinício da disputa aberta, para a definição das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demais colocações.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5.13.6.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Após o reinício previsto no subitem supra, os licitantes serão convocados para </w:t>
            </w:r>
          </w:p>
        </w:tc>
      </w:tr>
      <w:tr>
        <w:trPr>
          <w:trHeight w:hRule="exact" w:val="384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apresentar lances intermediários. </w:t>
            </w:r>
          </w:p>
        </w:tc>
      </w:tr>
    </w:tbl>
    <w:p>
      <w:pPr>
        <w:autoSpaceDN w:val="0"/>
        <w:autoSpaceDE w:val="0"/>
        <w:widowControl/>
        <w:spacing w:line="278" w:lineRule="auto" w:before="5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Após o término dos prazos estabelecidos nos subitens anteriores, o sistema ordenará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divulgará os lances segundo a ordem crescente de valores.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serão aceitos dois ou mais lances de mesmo valor, prevalecendo aquele que for recebido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registrado em primeiro lugar. </w:t>
      </w:r>
    </w:p>
    <w:p>
      <w:pPr>
        <w:autoSpaceDN w:val="0"/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Durante o transcurso da sessão pública, os licitantes serão informados, em tempo real, do valor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menor lance registrado, vedada a identificação do licitante. </w:t>
      </w:r>
    </w:p>
    <w:p>
      <w:pPr>
        <w:autoSpaceDN w:val="0"/>
        <w:autoSpaceDE w:val="0"/>
        <w:widowControl/>
        <w:spacing w:line="276" w:lineRule="auto" w:before="120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caso de desconexão com o Pregoeiro/Agente de Contratação, no decorrer da etapa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competitiva da licitação, o sistema eletrônico poderá permanecer acessível aos licitantes para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recepção dos lances. </w:t>
      </w:r>
    </w:p>
    <w:p>
      <w:pPr>
        <w:autoSpaceDN w:val="0"/>
        <w:autoSpaceDE w:val="0"/>
        <w:widowControl/>
        <w:spacing w:line="276" w:lineRule="auto" w:before="116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a desconexão do sistema eletrônico para o Pregoeiro/Agente de Contratação persistir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por tempo superior a dez minutos, a sessão pública será suspensa e reiniciada somente após decorridas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vinte e quatro horas da comunicação do fato pelo Pregoeiro/Agente de Contratação aos participantes,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sítio eletrônico utilizado para divulgação.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o licitante não apresente lances, concorrerá com o valor de sua proposta. </w:t>
      </w:r>
    </w:p>
    <w:p>
      <w:pPr>
        <w:autoSpaceDN w:val="0"/>
        <w:autoSpaceDE w:val="0"/>
        <w:widowControl/>
        <w:spacing w:line="276" w:lineRule="auto" w:before="11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relação a itens não exclusivos para participação de microempresas e empresas de pequeno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porte, uma vez encerrada a etapa de lances, será efetivada a verificação automática, junto à Receita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Federal, do porte da entidade empresarial. O sistema identificará em coluna própria as microempresas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empresas de pequeno porte participantes, procedendo à comparação com os valores da primeira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colocada, se esta for empresa de maior porte, assim como das demais classificadas, para o fim de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9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aplicar-se o disposto nos arts. 44 e 45 da Lei Complementar nº 123, de 2006, regulamentada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Decreto nº 8.538, de 2015.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5.20.1.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Nessas condições, as propostas de microempresas e empresas de pequeno porte que 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encontrarem na faixa de até 05% (cinco por cento), na modalidade Pregão, e 10% (dez por cento),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modalidade Concorrência, acima da melhor proposta ou melhor lance serão consideradas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empatadas com a primeira colocada.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5.20.2.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melhor classificada nos termos do subitem anterior terá o direito de encaminhar uma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última oferta para desempate, obrigatoriamente em valor inferior ao da primeira colocada, no prazo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5 (cinco) minutos controlados pelo sistema, contados após a comunicação automática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tanto.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5.20.3.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a microempresa ou a empresa de pequeno porte melhor classificada desista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se manifeste no prazo estabelecido, serão convocadas as demais licitantes microempresa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empresa de pequeno porte que se encontrem naquele intervalo estabelecido no subitem 5.20.1,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ordem de classificação, para o exercício do mesmo direito, no prazo estabelecido no subitem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anterior.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5.20.4.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caso de equivalência dos valores apresentados pelas microempresas e empresas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pequeno porte que se encontrem nos intervalos estabelecidos nos subitens anteriores, será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realizado sorteio entre elas para que se identifique aquela que primeiro poderá apresentar melhor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oferta.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Só poderá haver empate entre propostas iguais (não seguidas de lances), ou entre lances finais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fase fechada do modo de disputa aberto e fechado.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Havendo eventual empate entre propostas ou lances, o critério de desempate será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aquele previsto no art. 60 da Lei nº 14.133, de 2021, nesta ordem: </w:t>
      </w:r>
    </w:p>
    <w:p>
      <w:pPr>
        <w:autoSpaceDN w:val="0"/>
        <w:autoSpaceDE w:val="0"/>
        <w:widowControl/>
        <w:spacing w:line="278" w:lineRule="auto" w:before="116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5.21.1.1.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Disputa final, hipótese em que os licitantes empatados poderão apresentar nova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proposta em ato contínuo à classificação; </w:t>
      </w:r>
    </w:p>
    <w:p>
      <w:pPr>
        <w:autoSpaceDN w:val="0"/>
        <w:autoSpaceDE w:val="0"/>
        <w:widowControl/>
        <w:spacing w:line="276" w:lineRule="auto" w:before="116" w:after="0"/>
        <w:ind w:left="596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5.21.1.2.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Avaliação do desempenho contratual prévio dos licitantes, para a qual deverão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preferencialmente ser utilizados registros cadastrais para efeito de atesto de cumprimento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obrigações previstos nesta Lei; </w:t>
      </w:r>
    </w:p>
    <w:p>
      <w:pPr>
        <w:autoSpaceDN w:val="0"/>
        <w:autoSpaceDE w:val="0"/>
        <w:widowControl/>
        <w:spacing w:line="278" w:lineRule="auto" w:before="120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5.21.1.3.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Desenvolvimento pelo licitante de ações de equidade entre homens e mulheres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ambiente de trabalho, conforme regulamento; </w:t>
      </w:r>
    </w:p>
    <w:p>
      <w:pPr>
        <w:autoSpaceDN w:val="0"/>
        <w:autoSpaceDE w:val="0"/>
        <w:widowControl/>
        <w:spacing w:line="276" w:lineRule="auto" w:before="116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5.21.1.4.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Desenvolvimento pelo licitante de programa de integridade, conforme orientações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órgãos de controle.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Persistindo o empate, será assegurada preferência, sucessivamente, aos bens e serviços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produzidos ou prestados por: </w:t>
      </w:r>
    </w:p>
    <w:p>
      <w:pPr>
        <w:autoSpaceDN w:val="0"/>
        <w:autoSpaceDE w:val="0"/>
        <w:widowControl/>
        <w:spacing w:line="276" w:lineRule="auto" w:before="118" w:after="0"/>
        <w:ind w:left="596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5.21.2.1.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Empresas estabelecidas no território do Estado ou do Distrito Federal do órgão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entidade da Administração Pública estadual ou distrital licitante ou, no caso de licitação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realizada por órgão ou entidade de Município, no território do Estado em que este se localize;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9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49"/>
        <w:gridCol w:w="3249"/>
        <w:gridCol w:w="3249"/>
      </w:tblGrid>
      <w:tr>
        <w:trPr>
          <w:trHeight w:hRule="exact" w:val="1224"/>
        </w:trPr>
        <w:tc>
          <w:tcPr>
            <w:tcW w:type="dxa" w:w="140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172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0"/>
        </w:trPr>
        <w:tc>
          <w:tcPr>
            <w:tcW w:type="dxa" w:w="140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216" w:after="0"/>
              <w:ind w:left="432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5.21.2.2.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5.21.2.3.</w:t>
            </w:r>
          </w:p>
        </w:tc>
        <w:tc>
          <w:tcPr>
            <w:tcW w:type="dxa" w:w="8258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216" w:after="0"/>
              <w:ind w:left="1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Empresas brasileiras;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Empresas que invistam em pesquisa e no desenvolvimento de tecnologia no País; </w:t>
            </w:r>
          </w:p>
        </w:tc>
      </w:tr>
    </w:tbl>
    <w:p>
      <w:pPr>
        <w:autoSpaceDN w:val="0"/>
        <w:autoSpaceDE w:val="0"/>
        <w:widowControl/>
        <w:spacing w:line="278" w:lineRule="auto" w:before="58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5.21.2.4.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Empresas que comprovem a prática de mitigação, nos termos da Lei nº 12.187, de 29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dezembro de 2009. </w:t>
      </w:r>
    </w:p>
    <w:p>
      <w:pPr>
        <w:autoSpaceDN w:val="0"/>
        <w:autoSpaceDE w:val="0"/>
        <w:widowControl/>
        <w:spacing w:line="276" w:lineRule="auto" w:before="116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Encerrada a etapa de envio de lances da sessão pública, na hipótese da proposta do primeiro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colocado permanecer acima do preço máximo ou inferior ao desconto definido para a contratação,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Pregoeiro/Agente de Contratação poderá negociar condições mais vantajosas, após definido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resultado do julgamento.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5.22.1.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negociação poderá ser feita com os demais licitantes, segundo a ordem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classificação inicialmente estabelecida, quando o primeiro colocado, mesmo após a negociação,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desclassificado em razão de sua proposta permanecer acima do preço máximo definido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Administração.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5.22.2.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negociação será realizada por meio do sistema, podendo ser acompanhada pelos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demais licitantes.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5.22.3.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resultado da negociação será divulgado a todos os licitantes e anexado aos autos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 licitatório.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5.22.4.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Pregoeiro/Agente de Contratação solicitará ao licitante mais bem classificado que,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de 2 (duas) horas, envie a proposta adequada ao último lance ofertado após a negociação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realizada, acompanhada, se for o caso, dos documentos complementares, quando necessários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confirmação daqueles exigidos neste Edital e já apresentados.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5.22.5.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É facultado ao Pregoeiro/Agente de Contratação prorrogar o prazo estabelecido,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partir de solicitação fundamentada feita pelo licitante, antes de findo o prazo. </w:t>
      </w:r>
    </w:p>
    <w:p>
      <w:pPr>
        <w:autoSpaceDN w:val="0"/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Após a negociação do preço, o Pregoeiro/Agente de Contratação iniciará a fase de aceitação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julgamento da proposta.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6.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FASE DE JULGAMENTO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Encerrada a etapa de negociação, o Pregoeiro/Agente de Contratação verificará se o licitante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provisoriamente classificado em primeiro lugar atende às condições de participação no certame,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conforme previsto no art. 14 da Lei nº 14.133/2021, legislação correlata e no item 2.5 do edital,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especialmente quanto à existência de sanção que impeça a participação no certame ou a futura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contratação, mediante a consulta aos seguintes cadastros: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SICAF;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Cadastro Nacional de Empresas Inidôneas e Suspensas - CEIS, mantido pela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Controladoria-Geral da União (https://www.portaltransparencia.gov.br/sancoes/ceis); e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Cadastro Nacional de Empresas Punidas – CNEP, mantido pela Controladoria-Geral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União (https://www.portaltransparencia.gov.br/sancoes/cnep).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54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6.2.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consulta aos cadastros será realizada em nome da empresa licitante e também de seu sócio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majoritário, por força da vedação de que trata o artigo 12 da Lei n° 8.429, de 1992.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Caso conste na Consulta de Situação do licitante a existência de Ocorrências Impeditivas </w:t>
            </w:r>
          </w:p>
        </w:tc>
      </w:tr>
      <w:tr>
        <w:trPr>
          <w:trHeight w:hRule="exact" w:val="6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Indiretas, o Pregoeiro/Agente de Contratação diligenciará para verificar se houve fraude por parte das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empresas apontadas no Relatório de Ocorrências Impeditivas Indiretas. (IN nº 3/2018, art. 29,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caput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) 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tentativa de burla será verificada por meio dos vínculos societários, linhas de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fornecimento similares, dentre outros. (IN nº 3/2018, art. 29, §1º). 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licitante será convocado para manifestação previamente a uma eventual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desclassificação. (IN nº 3/2018, art. 29, §2º). 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6.3.3.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Constatada a existência de sanção, o licitante será reputado inabilitado, por falta de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condição de participação. </w:t>
            </w:r>
          </w:p>
        </w:tc>
      </w:tr>
      <w:tr>
        <w:trPr>
          <w:trHeight w:hRule="exact" w:val="3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6.4.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 hipótese de inversão das fases de habilitação e julgamento, caso atendidas as condições de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participação, será iniciado o procedimento de habilitação.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6.5.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Caso o licitante provisoriamente classificado em primeiro lugar tenha se utilizado de algum </w:t>
            </w:r>
          </w:p>
        </w:tc>
      </w:tr>
      <w:tr>
        <w:trPr>
          <w:trHeight w:hRule="exact" w:val="70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tratamento favorecido às ME/EPPs, o Pregoeiro/Agente de Contratação verificará se faz jus ao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benefício, em conformidade com os itens 2.10 e 3.6 deste edital.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6.6.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Verificadas as condições de participação e de utilização do tratamento favorecido, o </w:t>
            </w:r>
          </w:p>
        </w:tc>
      </w:tr>
      <w:tr>
        <w:trPr>
          <w:trHeight w:hRule="exact" w:val="100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" w:after="0"/>
              <w:ind w:left="32" w:right="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Pregoeiro/Agente de Contratação examinará a proposta classificada em primeiro lugar quanto 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adequação ao objeto e à compatibilidade do preço em relação ao máximo estipulado para contratação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neste Edital e em seus anexos</w:t>
            </w:r>
          </w:p>
        </w:tc>
      </w:tr>
      <w:tr>
        <w:trPr>
          <w:trHeight w:hRule="exact" w:val="44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Será desclassificada a proposta vencedora que: </w:t>
            </w:r>
          </w:p>
        </w:tc>
      </w:tr>
      <w:tr>
        <w:trPr>
          <w:trHeight w:hRule="exact" w:val="44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Contiver vícios insanáveis; </w:t>
            </w:r>
          </w:p>
        </w:tc>
      </w:tr>
      <w:tr>
        <w:trPr>
          <w:trHeight w:hRule="exact" w:val="44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obedecer às especificações técnicas contidas no Termo de Referência; </w:t>
            </w:r>
          </w:p>
        </w:tc>
      </w:tr>
      <w:tr>
        <w:trPr>
          <w:trHeight w:hRule="exact" w:val="388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Apresentar preços inexequíveis ou permanecerem acima do preço máximo definido </w:t>
            </w:r>
          </w:p>
        </w:tc>
      </w:tr>
      <w:tr>
        <w:trPr>
          <w:trHeight w:hRule="exact" w:val="372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 a contratação; </w:t>
            </w:r>
          </w:p>
        </w:tc>
      </w:tr>
      <w:tr>
        <w:trPr>
          <w:trHeight w:hRule="exact" w:val="44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tiverem sua exequibilidade demonstrada, quando exigido pela Administração; 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6.7.5.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Apresentar desconformidade com quaisquer outras exigências deste Edital ou seus </w:t>
            </w:r>
          </w:p>
        </w:tc>
      </w:tr>
      <w:tr>
        <w:trPr>
          <w:trHeight w:hRule="exact" w:val="36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anexos, desde que insanável.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6.8.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caso de bens e serviços em geral, é indício de inexequibilidade das propostas valores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4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inferiores a 50% (cinquenta por cento) do valor orçado pela Administração.</w:t>
            </w:r>
          </w:p>
        </w:tc>
      </w:tr>
      <w:tr>
        <w:trPr>
          <w:trHeight w:hRule="exact" w:val="396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6.8.1.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inexequibilidade, na hipótese de que trata o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caput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só será considerada após </w:t>
            </w:r>
          </w:p>
        </w:tc>
      </w:tr>
      <w:tr>
        <w:trPr>
          <w:trHeight w:hRule="exact" w:val="37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diligência do Pregoeiro/Agente de Contratação, que comprove: </w:t>
            </w:r>
          </w:p>
        </w:tc>
      </w:tr>
    </w:tbl>
    <w:p>
      <w:pPr>
        <w:autoSpaceDN w:val="0"/>
        <w:autoSpaceDE w:val="0"/>
        <w:widowControl/>
        <w:spacing w:line="329" w:lineRule="auto" w:before="60" w:after="0"/>
        <w:ind w:left="596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6.8.1.1.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o custo do licitante ultrapassa o valor da proposta; 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6.8.1.2.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Inexistirem custos de oportunidade capazes de justificar o vulto da oferta. </w:t>
      </w:r>
    </w:p>
    <w:p>
      <w:pPr>
        <w:autoSpaceDN w:val="0"/>
        <w:tabs>
          <w:tab w:pos="738" w:val="left"/>
          <w:tab w:pos="1818" w:val="left"/>
          <w:tab w:pos="2242" w:val="left"/>
          <w:tab w:pos="2748" w:val="left"/>
        </w:tabs>
        <w:autoSpaceDE w:val="0"/>
        <w:widowControl/>
        <w:spacing w:line="300" w:lineRule="exact" w:before="13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6.9.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contratação de serviços de engenharia, além das disposições acima, a análise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exequibilidade e sobrepreço considerará o seguinte: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br/>
      </w:r>
      <w:r>
        <w:tab/>
      </w:r>
      <w:r>
        <w:tab/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49"/>
        <w:gridCol w:w="3249"/>
        <w:gridCol w:w="3249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0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6.9.1.</w:t>
            </w:r>
          </w:p>
        </w:tc>
        <w:tc>
          <w:tcPr>
            <w:tcW w:type="dxa" w:w="860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Nos regimes de execução por tarefa, empreitada por preço global ou empreitada </w:t>
            </w:r>
          </w:p>
        </w:tc>
      </w:tr>
      <w:tr>
        <w:trPr>
          <w:trHeight w:hRule="exact" w:val="70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integral, semi-integrada ou integrada, a caracterização do sobrepreço se dará pela superação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valor global estimado;</w:t>
            </w:r>
          </w:p>
        </w:tc>
      </w:tr>
      <w:tr>
        <w:trPr>
          <w:trHeight w:hRule="exact" w:val="38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6.9.2.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regime de empreitada por preço unitário, a caracterização do sobrepreço se dará </w:t>
            </w:r>
          </w:p>
        </w:tc>
      </w:tr>
      <w:tr>
        <w:trPr>
          <w:trHeight w:hRule="exact" w:val="6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pela superação do valor global estimado e pela superação de custo unitário tido como relevante,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conforme planilha anexa ao edital;</w:t>
            </w:r>
          </w:p>
        </w:tc>
      </w:tr>
      <w:tr>
        <w:trPr>
          <w:trHeight w:hRule="exact" w:val="3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6.9.3.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caso de serviços de engenharia, serão consideradas inexequíveis as propostas cujos </w:t>
            </w:r>
          </w:p>
        </w:tc>
      </w:tr>
      <w:tr>
        <w:trPr>
          <w:trHeight w:hRule="exact" w:val="688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valores forem inferiores a 75% (setenta e cinco por cento) do valor orçado pela Administração,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independentemente do regime de execução. </w:t>
            </w:r>
          </w:p>
        </w:tc>
      </w:tr>
      <w:tr>
        <w:trPr>
          <w:trHeight w:hRule="exact" w:val="38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6.9.4.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Será exigida garantia adicional do licitante vencedor cuja proposta for inferior a 85% </w:t>
            </w:r>
          </w:p>
        </w:tc>
      </w:tr>
      <w:tr>
        <w:trPr>
          <w:trHeight w:hRule="exact" w:val="70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(oitenta e cinco por cento) do valor orçado pela Administração, equivalente à diferença entre este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último e o valor da proposta, sem prejuízo das demais garantias exigíveis de acordo com a Lei. </w:t>
            </w:r>
          </w:p>
        </w:tc>
      </w:tr>
    </w:tbl>
    <w:p>
      <w:pPr>
        <w:autoSpaceDN w:val="0"/>
        <w:autoSpaceDE w:val="0"/>
        <w:widowControl/>
        <w:spacing w:line="276" w:lineRule="auto" w:before="5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houver indícios de inexequibilidade da proposta de preço, ou em caso da necessidade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esclarecimentos complementares, poderão ser efetuadas diligências, para que a empresa comprove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exequibilidade da proposta. </w:t>
      </w:r>
    </w:p>
    <w:p>
      <w:pPr>
        <w:autoSpaceDN w:val="0"/>
        <w:autoSpaceDE w:val="0"/>
        <w:widowControl/>
        <w:spacing w:line="276" w:lineRule="auto" w:before="118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o custo global estimado do objeto licitado tenha sido decomposto em seus respectivos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custos unitários por meio de Planilha de Custos e Formação de Preços elaborada pela Administração,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licitante classificado em primeiro lugar será convocado para apresentar Planilha por ele elaborada,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 os respectivos valores adequados ao valor final da sua proposta, sob pena de não aceitação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proposta.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se tratando de serviços de engenharia, o licitante vencedor será convocado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apresentar à Administração, por meio eletrônico,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as planilhas com indicação dos quantitativos 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dos custos unitários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seguindo o modelo elaborado pela Administração, bem como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detalhamento das Bonificações e Despesas Indiretas (BDI)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Cronograma Físico-financeiro,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respectivos valores adequados ao valor final da proposta vencedora, admitida a utilização 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preços unitários, no caso de empreitada por preço global, empreitada integral, contratação semi-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integrada e contratação integrada, exclusivamente para eventuais adequações indispensáveis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cronograma físico-financeiro e para balizar excepcional aditamento posterior do contrato.</w:t>
      </w:r>
    </w:p>
    <w:p>
      <w:pPr>
        <w:autoSpaceDN w:val="0"/>
        <w:autoSpaceDE w:val="0"/>
        <w:widowControl/>
        <w:spacing w:line="278" w:lineRule="auto" w:before="12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Erros no preenchimento da planilha não constituem motivo para a desclassificação da </w:t>
      </w:r>
    </w:p>
    <w:p>
      <w:pPr>
        <w:autoSpaceDN w:val="0"/>
        <w:autoSpaceDE w:val="0"/>
        <w:widowControl/>
        <w:spacing w:line="264" w:lineRule="auto" w:before="3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proposta. A planilha poderá́ ser ajustada pelo fornecedor, no prazo indicado pelo sistema, desde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haja majoração do preço e que se comprove que este é o bastante para arcar com todos os custos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da contratação;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6.12.1.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ajuste de que trata este dispositivo se limita a sanar erros ou falhas que não alterem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substância das propostas;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6.12.2.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Considera-se erro no preenchimento da planilha passível de correção a indicação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recolhimento de impostos e contribuições na forma do Simples Nacional, quando não cabível esse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regime. </w:t>
      </w:r>
    </w:p>
    <w:p>
      <w:pPr>
        <w:autoSpaceDN w:val="0"/>
        <w:autoSpaceDE w:val="0"/>
        <w:widowControl/>
        <w:spacing w:line="276" w:lineRule="auto" w:before="12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fins de análise da proposta quanto ao cumprimento das especificações do objeto, poderá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ser colhida a manifestação escrita do setor requisitante do serviço ou da área especializada no objeto.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202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o Termo de Referência exija a apresentação de amostra, o licitante classificado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primeiro lugar deverá apresentá-la, conforme disciplinado no Termo de Referência, sob pena de não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aceitação da proposta.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resultados das avaliações serão divulgados por meio de mensagem no sistema. </w:t>
      </w:r>
    </w:p>
    <w:p>
      <w:pPr>
        <w:autoSpaceDN w:val="0"/>
        <w:autoSpaceDE w:val="0"/>
        <w:widowControl/>
        <w:spacing w:line="276" w:lineRule="auto" w:before="116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caso de não haver entrega da amostra ou ocorrer atraso na entrega, sem justificativa aceita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Pregoeiro/Agente de Contratação, ou havendo entrega de amostra fora das especificações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previstas neste Edital, a proposta do licitante será recusada. </w:t>
      </w:r>
    </w:p>
    <w:p>
      <w:pPr>
        <w:autoSpaceDN w:val="0"/>
        <w:autoSpaceDE w:val="0"/>
        <w:widowControl/>
        <w:spacing w:line="276" w:lineRule="auto" w:before="120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a(s) amostra(s) apresentada(s) pelo primeiro classificado não for(em) aceita(s),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Pregoeiro/Agente de Contratação analisará a aceitabilidade da proposta ou lance ofertado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segundo classificado. Seguir-se-á com a verificação da(s) amostra(s) e, assim, sucessivamente, até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verificação de uma que atenda às especificações constantes no Termo de Referência.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7.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FASE DE HABILITAÇÃO </w:t>
      </w:r>
    </w:p>
    <w:p>
      <w:pPr>
        <w:autoSpaceDN w:val="0"/>
        <w:tabs>
          <w:tab w:pos="738" w:val="left"/>
        </w:tabs>
        <w:autoSpaceDE w:val="0"/>
        <w:widowControl/>
        <w:spacing w:line="316" w:lineRule="exact" w:before="10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Os documentos previstos no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Termo de Referência,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necessários e suficientes para demonstrar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capacidade do licitante de realizar o objeto da licitação, serão exigidos para fins de habilitação, nos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termos dos arts. 62 a 70 da Lei nº 14.133, de 2021.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permitida a participação de empresas estrangeiras que não funcionem no País,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exigências de habilitação serão atendidas mediante documentos equivalentes, inicialmente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apresentados em tradução livre.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hipótese de o licitante vencedor ser empresa estrangeira que não funcione no País, para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fins de assinatura do contrato ou da ata de registro de preços, os documentos exigidos para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 serão traduzidos por tradutor juramentado no País e apostilados nos termos do disposto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Decreto nº 8.660, de 29 de janeiro de 2016, ou de outro que venha a substituí-lo, ou consularizados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pelos respectivos consulados ou embaixadas.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2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permitida a participação de consórcio de empresas, a habilitação técnica, quando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exigida, será feita por meio do somatório dos quantitativos de cada consorciado e, para efeito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 econômico-financeira, quando exigida, será observado o somatório dos valores de cada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consorciado.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7.4.1.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o consórcio não for formado integralmente por microempresas ou empresas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pequeno porte e o termo de referência exigir requisitos de habilitação econômico-financeira,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haverá um acréscimo de 10% para o consórcio em relação ao valor exigido para os licitantes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individuais.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documentos exigidos para fins de habilitação poderão ser apresentados em original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cópia.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7.6.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Será verificado se o licitante apresentou declaração de que atende aos requisitos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habilitação, e o declarante responderá pela veracidade das informações prestadas, na forma da lei (art.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63, I, da Lei nº 14.133/2021).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9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7.7.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Será verificado se o licitante apresentou no sistema, sob pena de inabilitação, a declaração de </w:t>
            </w:r>
          </w:p>
        </w:tc>
      </w:tr>
      <w:tr>
        <w:trPr>
          <w:trHeight w:hRule="exact" w:val="70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 cumpre as exigências de reserva de cargos para pessoa com deficiência e para reabilitado 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Previdência Social, previstas em lei e em outras normas específicas.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7.8.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licitante deverá apresentar, sob pena de desclassificação, declaração de que suas propostas </w:t>
            </w:r>
          </w:p>
        </w:tc>
      </w:tr>
      <w:tr>
        <w:trPr>
          <w:trHeight w:hRule="exact" w:val="132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1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econômicas compreendem a integralidade dos custos para atendimento dos direitos trabalhistas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assegurados na Constituição Federal, nas leis trabalhistas, nas normas infralegais, nas convenções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coletivas de trabalho e nos termos de ajustamento de conduta vigentes na data de entrega das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propostas.</w:t>
            </w:r>
          </w:p>
        </w:tc>
      </w:tr>
      <w:tr>
        <w:trPr>
          <w:trHeight w:hRule="exact" w:val="44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7.9.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 habilitação será verificada por meio do SICAF, nos documentos por ele abrangidos.</w:t>
            </w:r>
          </w:p>
        </w:tc>
      </w:tr>
      <w:tr>
        <w:trPr>
          <w:trHeight w:hRule="exact" w:val="3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7.9.1.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Somente haverá a necessidade de comprovação do preenchimento de requisitos </w:t>
            </w:r>
          </w:p>
        </w:tc>
      </w:tr>
      <w:tr>
        <w:trPr>
          <w:trHeight w:hRule="exact" w:val="1018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316" w:right="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mediante apresentação dos documentos originais não-digitais quando houver dúvida em relação 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integridade do documento digital ou quando a lei expressamente o exigir. (IN nº 3/2018, art. 4º,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§1º, e art. 6º, §4º). </w:t>
            </w:r>
          </w:p>
        </w:tc>
      </w:tr>
    </w:tbl>
    <w:p>
      <w:pPr>
        <w:autoSpaceDN w:val="0"/>
        <w:autoSpaceDE w:val="0"/>
        <w:widowControl/>
        <w:spacing w:line="318" w:lineRule="exact" w:before="60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É de responsabilidade do licitante conferir a exatidão dos seus dados cadastrais no SICAF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mantê-los atualizados junto aos órgãos responsáveis pela informação, devendo proceder,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imediatamente, à correção ou à alteração dos registros tão logo identifique incorreção ou aqueles 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tornem desatualizados. (IN nº 3/2018, art. 7º,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caput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7.10.1.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não observância do disposto no item anterior poderá ensejar desclassificação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momento da habilitação. (IN nº 3/2018, art. 7º, parágrafo único).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verificação pelo Pregoeiro/Agente de Contratação, em sítios eletrônicos oficiais de órgãos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 entidades emissores de certidões constitui meio legal de prova, para fins de habilitação.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documentos exigidos para habilitação que não estejam contemplados no SICAF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serão enviados por meio do sistema, em formato digital, no prazo de 2 (duas) horas, prorrogável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por igual período, contado da solicitação do Pregoeiro/Agente de Contratação.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hipótese de a fase de habilitação anteceder a fase de apresentação de propostas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lances, os licitantes encaminharão, por meio do sistema, simultaneamente os documentos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habilitação e a proposta com o preço ou o percentual de desconto.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verificação no SICAF ou a exigência dos documentos nele não contidos somente será feita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em relação ao licitante vencedor.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7.12.1.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documentos relativos à regularidade fiscal que constem do Termo de Referência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somente serão exigidos, em qualquer caso, em momento posterior ao julgamento das propostas,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apenas do licitante mais bem classificado.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7.12.2.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Respeitada a exceção do subitem anterior, relativa à regularidade fiscal, quando a fase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habilitação anteceder as fases de apresentação de propostas e lances e de julgamento,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verificação ou exigência do presente subitem ocorrerá em relação a todos os licitantes. </w:t>
      </w:r>
    </w:p>
    <w:p>
      <w:pPr>
        <w:autoSpaceDN w:val="0"/>
        <w:autoSpaceDE w:val="0"/>
        <w:widowControl/>
        <w:spacing w:line="276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Após a entrega dos documentos para habilitação, não será permitida a substituição ou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apresentação de novos documentos, salvo em sede de diligência, (Lei 14.133/21, art. 64), para: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9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50"/>
        <w:gridCol w:w="3250"/>
        <w:gridCol w:w="3250"/>
      </w:tblGrid>
      <w:tr>
        <w:trPr>
          <w:trHeight w:hRule="exact" w:val="1224"/>
        </w:trPr>
        <w:tc>
          <w:tcPr>
            <w:tcW w:type="dxa" w:w="8260"/>
            <w:gridSpan w:val="2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6"/>
        </w:trPr>
        <w:tc>
          <w:tcPr>
            <w:tcW w:type="dxa" w:w="116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7.13.1.</w:t>
            </w:r>
          </w:p>
        </w:tc>
        <w:tc>
          <w:tcPr>
            <w:tcW w:type="dxa" w:w="8540"/>
            <w:gridSpan w:val="2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6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Complementação de informações acerca dos documentos já apresentados pelos </w:t>
            </w:r>
          </w:p>
        </w:tc>
      </w:tr>
      <w:tr>
        <w:trPr>
          <w:trHeight w:hRule="exact" w:val="3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licitantes e desde que necessária para apurar fatos existentes à época da abertura do certame; e </w:t>
            </w:r>
          </w:p>
        </w:tc>
      </w:tr>
      <w:tr>
        <w:trPr>
          <w:trHeight w:hRule="exact" w:val="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7.13.2.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Atualização de documentos cuja validade tenha expirado após a data de recebimento </w:t>
            </w:r>
          </w:p>
        </w:tc>
      </w:tr>
      <w:tr>
        <w:trPr>
          <w:trHeight w:hRule="exact" w:val="380"/>
        </w:trPr>
        <w:tc>
          <w:tcPr>
            <w:tcW w:type="dxa" w:w="9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das propostas; </w:t>
            </w:r>
          </w:p>
        </w:tc>
      </w:tr>
    </w:tbl>
    <w:p>
      <w:pPr>
        <w:autoSpaceDN w:val="0"/>
        <w:autoSpaceDE w:val="0"/>
        <w:widowControl/>
        <w:spacing w:line="276" w:lineRule="auto" w:before="58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análise dos documentos de habilitação, o Pregoeiro/Agente de Contratação poderá sanar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erros ou falhas, que não alterem a substância dos documentos e sua validade jurídica, mediante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decisão fundamentada, registrada em ata e acessível a todos, atribuindo-lhes eficácia para fins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habilitação e classificação. </w:t>
      </w:r>
    </w:p>
    <w:p>
      <w:pPr>
        <w:autoSpaceDN w:val="0"/>
        <w:autoSpaceDE w:val="0"/>
        <w:widowControl/>
        <w:spacing w:line="276" w:lineRule="auto" w:before="11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hipótese de o licitante não atender às exigências para habilitação, o Pregoeiro/Agente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Contratação examinará a proposta subsequente e assim sucessivamente, na ordem de classificação,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até a apuração de uma proposta que atenda ao presente edital, observado o prazo disposto no subitem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7.11.1.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a fase de habilitação anteceder a de julgamento e já tiver sido encerrada, não caberá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exclusão de licitante por motivo relacionado à habilitação, salvo em razão de fatos supervenientes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só conhecidos após o julgamento.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8.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DOS RECURSOS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9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interposição de recurso referente ao julgamento das propostas, à habilitação ou inabilitação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licitantes, à anulação ou revogação da licitação, observará o disposto no art. 165 da Lei nº 14.133,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2021.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prazo recursal é de 3 (três) dias úteis, contados da data de intimação ou de lavratura da ata.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o recurso apresentado impugnar o julgamento das propostas ou o ato de habilitação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 inabilitação do licitante: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intenção de recorrer deverá ser manifestada imediatamente, sob pena de preclusão;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prazo para a manifestação da intenção de recorrer não será inferior a 10 (dez)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minutos.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prazo para apresentação das razões recursais será iniciado na data de intimação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lavratura da ata de habilitação ou inabilitação;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hipótese de adoção da inversão de fases prevista no § 1º do art. 17 da Lei nº 14.133,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2021, o prazo para apresentação das razões recursais será iniciado na data de intimação da ata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julgamento. </w:t>
      </w:r>
    </w:p>
    <w:p>
      <w:pPr>
        <w:autoSpaceDN w:val="0"/>
        <w:tabs>
          <w:tab w:pos="738" w:val="left"/>
        </w:tabs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recursos deverão ser encaminhados em campo próprio do sistema. </w:t>
      </w:r>
    </w:p>
    <w:p>
      <w:pPr>
        <w:autoSpaceDN w:val="0"/>
        <w:tabs>
          <w:tab w:pos="738" w:val="left"/>
        </w:tabs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recurso será dirigido à autoridade que tiver editado o ato ou proferido a decisão recorrida,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qual poderá reconsiderar sua decisão no prazo de 3 (três) dias úteis, ou, nesse mesmo prazo,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encaminhar recurso para a autoridade superior, a qual deverá proferir sua decisão no prazo de 10 (dez)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dias úteis, contado do recebimento dos autos.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54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9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8.6.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 recursos interpostos fora do prazo não serão conhecidos.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8.7.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prazo para apresentação de contrarrazões ao recurso pelos demais licitantes será de 3 (três) </w:t>
            </w:r>
          </w:p>
        </w:tc>
      </w:tr>
      <w:tr>
        <w:trPr>
          <w:trHeight w:hRule="exact" w:val="70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dias úteis, contados da data da intimação pessoal ou da divulgação da interposição do recurso,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assegurada a vista imediata dos elementos indispensáveis à defesa de seus interesses. </w:t>
            </w:r>
          </w:p>
        </w:tc>
      </w:tr>
      <w:tr>
        <w:trPr>
          <w:trHeight w:hRule="exact" w:val="36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8.8.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recurso e o pedido de reconsideração terão efeito suspensivo do ato ou da decisão recorrida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até que sobrevenha decisão final da autoridade competente. </w:t>
            </w:r>
          </w:p>
        </w:tc>
      </w:tr>
      <w:tr>
        <w:trPr>
          <w:trHeight w:hRule="exact" w:val="45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8.9.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acolhimento do recurso invalida tão somente os atos insuscetíveis de aproveitamento. </w:t>
            </w:r>
          </w:p>
        </w:tc>
      </w:tr>
    </w:tbl>
    <w:p>
      <w:pPr>
        <w:autoSpaceDN w:val="0"/>
        <w:autoSpaceDE w:val="0"/>
        <w:widowControl/>
        <w:spacing w:line="278" w:lineRule="auto" w:before="6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decisão em grau de recurso dar-se-á conhecimento através do sistema eletrônico e site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Prefeitura. </w:t>
      </w:r>
    </w:p>
    <w:p>
      <w:pPr>
        <w:autoSpaceDN w:val="0"/>
        <w:tabs>
          <w:tab w:pos="312" w:val="left"/>
          <w:tab w:pos="596" w:val="left"/>
          <w:tab w:pos="738" w:val="left"/>
          <w:tab w:pos="1446" w:val="left"/>
        </w:tabs>
        <w:autoSpaceDE w:val="0"/>
        <w:widowControl/>
        <w:spacing w:line="402" w:lineRule="exact" w:before="49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9.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DAS INFRAÇÕES ADMINISTRATIVAS E SANÇÕES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Comete infração administrativa, nos termos da lei, o licitante que, com dolo ou culpa: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Deixar de entregar a documentação exigida para o certame ou não entregar qualquer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documento que tenha sido solicitado pelo/a Pregoeiro/Agente de Contratação/a durante o certame;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Salvo em decorrência de fato superveniente devidamente justificado, não mantiver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</w:t>
      </w:r>
    </w:p>
    <w:p>
      <w:pPr>
        <w:autoSpaceDN w:val="0"/>
        <w:tabs>
          <w:tab w:pos="596" w:val="left"/>
          <w:tab w:pos="1446" w:val="left"/>
        </w:tabs>
        <w:autoSpaceDE w:val="0"/>
        <w:widowControl/>
        <w:spacing w:line="365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proposta em especial quando: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enviar a proposta adequada ao último lance ofertado ou após a negociação;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Recusar-se a enviar o detalhamento da proposta quando exigível;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Pedir para ser desclassificado quando encerrada a etapa competitiva; ou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Deixar de apresentar amostra;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9.1.2.5.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Apresentar proposta ou amostra em desacordo com as especificações do edital;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celebrar o contrato ou não entregar a documentação exigida para a contratação,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9.1.3.</w:t>
      </w:r>
    </w:p>
    <w:p>
      <w:pPr>
        <w:autoSpaceDN w:val="0"/>
        <w:tabs>
          <w:tab w:pos="596" w:val="left"/>
          <w:tab w:pos="1446" w:val="left"/>
        </w:tabs>
        <w:autoSpaceDE w:val="0"/>
        <w:widowControl/>
        <w:spacing w:line="329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 convocado dentro do prazo de validade de sua proposta;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9.1.3.1.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Recusar-se, sem justificativa, a assinar o contrato ou a ata de registro de preço, ou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aceitar ou retirar o instrumento equivalente no prazo estabelecido pela Administração;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9.1.4.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Apresentar declaração ou documentação falsa exigida para o certame ou prestar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declaração falsa durante a licitação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Fraudar a licitação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9.1.5.</w:t>
      </w:r>
    </w:p>
    <w:p>
      <w:pPr>
        <w:autoSpaceDN w:val="0"/>
        <w:tabs>
          <w:tab w:pos="596" w:val="left"/>
          <w:tab w:pos="1446" w:val="left"/>
        </w:tabs>
        <w:autoSpaceDE w:val="0"/>
        <w:widowControl/>
        <w:spacing w:line="346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9.1.6.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Comportar-se de modo inidôneo ou cometer fraude de qualquer natureza, em especial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quando: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9.1.6.1.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Agir em conluio ou em desconformidade com a lei;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9.1.6.2.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Induzir deliberadamente a erro no julgamento;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9.1.6.3.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Apresentar amostra falsificada ou deteriorada;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Praticar atos ilícitos com vistas a frustrar os objetivos da licitação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9.1.7.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22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2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98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9.1.8.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Praticar ato lesivo previsto no art. 5º da Lei n.º 12.846, de 2013. </w:t>
            </w:r>
          </w:p>
        </w:tc>
      </w:tr>
      <w:tr>
        <w:trPr>
          <w:trHeight w:hRule="exact" w:val="38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 fulcro na Lei nº 14.133, de 2021, a Administração poderá, garantida a prévia defesa, </w:t>
            </w:r>
          </w:p>
        </w:tc>
      </w:tr>
      <w:tr>
        <w:trPr>
          <w:trHeight w:hRule="exact" w:val="70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aplicar aos licitantes e/ou adjudicatários as seguintes sanções, sem prejuízo das responsabilidades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civil e criminal: </w:t>
            </w:r>
          </w:p>
        </w:tc>
      </w:tr>
      <w:tr>
        <w:trPr>
          <w:trHeight w:hRule="exact" w:val="42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Advertência;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Multa;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Impedimento de licitar e contratar e </w:t>
            </w:r>
          </w:p>
        </w:tc>
      </w:tr>
      <w:tr>
        <w:trPr>
          <w:trHeight w:hRule="exact" w:val="38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Declaração de inidoneidade para licitar ou contratar, enquanto perdurarem os motivos </w:t>
            </w:r>
          </w:p>
        </w:tc>
      </w:tr>
      <w:tr>
        <w:trPr>
          <w:trHeight w:hRule="exact" w:val="70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determinantes da punição ou até que seja promovida sua reabilitação perante a própria autoridade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 aplicou a penalidade. </w:t>
            </w:r>
          </w:p>
        </w:tc>
      </w:tr>
      <w:tr>
        <w:trPr>
          <w:trHeight w:hRule="exact" w:val="44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 aplicação das sanções serão considerados: </w:t>
            </w:r>
          </w:p>
        </w:tc>
      </w:tr>
      <w:tr>
        <w:trPr>
          <w:trHeight w:hRule="exact" w:val="42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natureza e a gravidade da infração cometida.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peculiaridades do caso concreto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circunstâncias agravantes ou atenuantes </w:t>
            </w:r>
          </w:p>
        </w:tc>
      </w:tr>
      <w:tr>
        <w:trPr>
          <w:trHeight w:hRule="exact" w:val="44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 danos que dela provierem para a Administração Pública </w:t>
            </w:r>
          </w:p>
        </w:tc>
      </w:tr>
      <w:tr>
        <w:trPr>
          <w:trHeight w:hRule="exact" w:val="38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9.3.5.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implantação ou o aperfeiçoamento de programa de integridade, conforme normas e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orientações dos órgãos de controle. </w:t>
            </w:r>
          </w:p>
        </w:tc>
      </w:tr>
      <w:tr>
        <w:trPr>
          <w:trHeight w:hRule="exact" w:val="38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9.4.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multa moratória será de 0,5% (zero vírgula cinco por cento) até 30% (trinta por cento) por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dia de atraso injustificado sobre o valor da parcela inadimplida, até o limite de 60 (sessenta) dias; </w:t>
            </w:r>
          </w:p>
        </w:tc>
      </w:tr>
      <w:tr>
        <w:trPr>
          <w:trHeight w:hRule="exact" w:val="36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multas abaixo serão recolhidas no prazo máximo de 30 (trinta) dias, a contar da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comunicação oficial: </w:t>
            </w:r>
          </w:p>
        </w:tc>
      </w:tr>
      <w:tr>
        <w:trPr>
          <w:trHeight w:hRule="exact" w:val="38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9.5.1.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Compensatória, para as infrações descritas nas alíneas “e” a “h” do subitem 12.1 da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Minuta do Contrato, de 30% do valor do contrato; </w:t>
            </w:r>
          </w:p>
        </w:tc>
      </w:tr>
      <w:tr>
        <w:trPr>
          <w:trHeight w:hRule="exact" w:val="388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9.5.2.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Compensatória, para a inexecução total do contrato prevista na alínea “c” do subitem </w:t>
            </w:r>
          </w:p>
        </w:tc>
      </w:tr>
      <w:tr>
        <w:trPr>
          <w:trHeight w:hRule="exact" w:val="372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12.1 da Minuta do Contrato, de 20% do valor do contrato; </w:t>
            </w:r>
          </w:p>
        </w:tc>
      </w:tr>
      <w:tr>
        <w:trPr>
          <w:trHeight w:hRule="exact" w:val="38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9.5.3.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 infração descrita na alínea “b” do subitem 12.1 da Minuta do Contrato, a multa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será de 20% do valor do contrato; </w:t>
            </w:r>
          </w:p>
        </w:tc>
      </w:tr>
      <w:tr>
        <w:trPr>
          <w:trHeight w:hRule="exact" w:val="36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9.5.4.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 infrações descritas nas alíneas “d” do subitem 12.1 da Minuta do Contrato, a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multa será de 20% do valor do contrato; </w:t>
            </w:r>
          </w:p>
        </w:tc>
      </w:tr>
      <w:tr>
        <w:trPr>
          <w:trHeight w:hRule="exact" w:val="380"/>
        </w:trPr>
        <w:tc>
          <w:tcPr>
            <w:tcW w:type="dxa" w:w="1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9.5.5.</w:t>
            </w:r>
          </w:p>
        </w:tc>
        <w:tc>
          <w:tcPr>
            <w:tcW w:type="dxa" w:w="8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 infração descrita na alínea “a” do subitem 12.1 da Minuta do Contrato, a multa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3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será de 10% do valor do contrato. </w:t>
            </w:r>
          </w:p>
        </w:tc>
      </w:tr>
      <w:tr>
        <w:trPr>
          <w:trHeight w:hRule="exact" w:val="38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9.6.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 sanções de advertência, impedimento de licitar e contratar e declaração de inidoneidade </w:t>
            </w:r>
          </w:p>
        </w:tc>
      </w:tr>
      <w:tr>
        <w:trPr>
          <w:trHeight w:hRule="exact" w:val="380"/>
        </w:trPr>
        <w:tc>
          <w:tcPr>
            <w:tcW w:type="dxa" w:w="973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 licitar ou contratar poderão ser aplicadas, cumulativamente ou não, à penalidade de multa. </w:t>
            </w:r>
          </w:p>
        </w:tc>
      </w:tr>
      <w:tr>
        <w:trPr>
          <w:trHeight w:hRule="exact" w:val="380"/>
        </w:trPr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9.7.</w:t>
            </w:r>
          </w:p>
        </w:tc>
        <w:tc>
          <w:tcPr>
            <w:tcW w:type="dxa" w:w="9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 aplicação da sanção de multa será facultada a defesa do interessado no prazo de 15 (quinze) </w:t>
            </w:r>
          </w:p>
        </w:tc>
      </w:tr>
      <w:tr>
        <w:trPr>
          <w:trHeight w:hRule="exact" w:val="510"/>
        </w:trPr>
        <w:tc>
          <w:tcPr>
            <w:tcW w:type="dxa" w:w="9736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dias úteis, contado da data de sua intimação.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92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9.8.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sanção de impedimento de licitar e contratar será aplicada ao responsável em decorrência </w:t>
            </w:r>
          </w:p>
        </w:tc>
      </w:tr>
      <w:tr>
        <w:trPr>
          <w:trHeight w:hRule="exact" w:val="132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" w:after="0"/>
              <w:ind w:left="32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das infrações administrativas relacionadas nos itens 9.1.1, 9.1.2 e 9.1.3, quando não se justificar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imposição de penalidade mais grave, e impedirá o responsável de licitar e contratar no âmbito 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Administração Pública direta e indireta do ente federativo a qual pertencer o órgão ou entidade, pelo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prazo máximo de 3 (três) anos. </w:t>
            </w:r>
          </w:p>
        </w:tc>
      </w:tr>
      <w:tr>
        <w:trPr>
          <w:trHeight w:hRule="exact" w:val="38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9.9.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Poderá ser aplicada ao responsável a sanção de declaração de inidoneidade para licitar ou </w:t>
            </w:r>
          </w:p>
        </w:tc>
      </w:tr>
      <w:tr>
        <w:trPr>
          <w:trHeight w:hRule="exact" w:val="1344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32" w:right="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contratar, em decorrência da prática das infrações dispostas nos itens 9.1.4, 9.1.5, 9.1.6, 9.1.7 e 9.1.8,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bem como pelas infrações administrativas previstas nos itens 9.1.1, 9.1.2 e 9.1.3 que justifiquem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imposição de penalidade mais grave que a sanção de impedimento de licitar e contratar, cuja duração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observará o prazo previsto no art. 156, §5º, da Lei n.º 14.133/2021. </w:t>
            </w:r>
          </w:p>
        </w:tc>
      </w:tr>
    </w:tbl>
    <w:p>
      <w:pPr>
        <w:autoSpaceDN w:val="0"/>
        <w:autoSpaceDE w:val="0"/>
        <w:widowControl/>
        <w:spacing w:line="276" w:lineRule="auto" w:before="5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recusa injustificada do adjudicatário em assinar o contrato ou a ata de registro de preço,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aceitar ou retirar o instrumento equivalente no prazo estabelecido pela Administração, descrita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item 9.1.3, caracterizará o descumprimento total da obrigação assumida e o sujeitará às penalidades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à imediata perda da garantia de proposta em favor do órgão ou entidade promotora da licitação. </w:t>
      </w:r>
    </w:p>
    <w:p>
      <w:pPr>
        <w:autoSpaceDN w:val="0"/>
        <w:autoSpaceDE w:val="0"/>
        <w:widowControl/>
        <w:spacing w:line="276" w:lineRule="auto" w:before="116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apuração de responsabilidade relacionadas às sanções de impedimento de licitar e contratar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de declaração de inidoneidade para licitar ou contratar demandará a instauração de processo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responsabilização a ser conduzido por comissão composta por 2 (dois) ou mais servidores estáveis,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que avaliará fatos e circunstâncias conhecidos e intimará o licitante ou o adjudicatário para, no prazo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15 (quinze) dias úteis, contado da data de sua intimação, apresentar defesa escrita e especificar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provas que pretenda produzir. </w:t>
      </w:r>
    </w:p>
    <w:p>
      <w:pPr>
        <w:autoSpaceDN w:val="0"/>
        <w:autoSpaceDE w:val="0"/>
        <w:widowControl/>
        <w:spacing w:line="276" w:lineRule="auto" w:before="120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Caberá recurso no prazo de 15 (quinze) dias úteis da aplicação das sanções de advertência,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multa e impedimento de licitar e contratar, contado da data da intimação, o qual será dirigido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autoridade que tiver proferido a decisão recorrida, que, se não a reconsiderar no prazo de 5 (cinco)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dias úteis, encaminhará o recurso com sua motivação à autoridade superior, que deverá proferir sua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decisão no prazo máximo de 20 (vinte) dias úteis, contado do recebimento dos autos. </w:t>
      </w:r>
    </w:p>
    <w:p>
      <w:pPr>
        <w:autoSpaceDN w:val="0"/>
        <w:autoSpaceDE w:val="0"/>
        <w:widowControl/>
        <w:spacing w:line="276" w:lineRule="auto" w:before="11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Caberá a apresentação de pedido de reconsideração da aplicação da sanção de declaração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inidoneidade para licitar ou contratar no prazo de 15 (quinze) dias úteis, contado da data da intimação,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decidido no prazo máximo de 20 (vinte) dias úteis, contado do seu recebimento. </w:t>
      </w:r>
    </w:p>
    <w:p>
      <w:pPr>
        <w:autoSpaceDN w:val="0"/>
        <w:autoSpaceDE w:val="0"/>
        <w:widowControl/>
        <w:spacing w:line="276" w:lineRule="auto" w:before="12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recurso e o pedido de reconsideração terão efeito suspensivo do ato ou da decisão recorrida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até que sobrevenha decisão final da autoridade competente. </w:t>
      </w:r>
    </w:p>
    <w:p>
      <w:pPr>
        <w:autoSpaceDN w:val="0"/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aplicação das sanções previstas neste edital não exclui, em hipótese alguma, a obrigação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reparação integral dos danos causados.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10.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 IMPUGNAÇÃO AO EDITAL E DO PEDIDO DE ESCLARECIMENTO </w:t>
      </w:r>
    </w:p>
    <w:p>
      <w:pPr>
        <w:autoSpaceDN w:val="0"/>
        <w:autoSpaceDE w:val="0"/>
        <w:widowControl/>
        <w:spacing w:line="276" w:lineRule="auto" w:before="9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Qualquer pessoa é parte legítima para impugnar este Edital por irregularidade na aplicação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Lei nº 14.133, de 2021, devendo protocolar o pedido até 3 (três) dias úteis antes da data da abertura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certame.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83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resposta à impugnação ou ao pedido de esclarecimento será divulgado em sítio eletrônico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oficial no prazo de até 3 (três) dias úteis, limitado ao último dia útil anterior à data da abertura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certame.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impugnação e o pedido de esclarecimento poderão ser realizados por forma eletrônica, via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e-mail: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3" w:history="1">
          <w:r>
            <w:rPr>
              <w:rStyle w:val="Hyperlink"/>
            </w:rPr>
            <w:t>pregaoeletronico2@lages.sc.gov.br</w:t>
          </w:r>
        </w:hyperlink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5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11.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DAS DISPOSIÇÕES GERAIS </w:t>
      </w:r>
    </w:p>
    <w:p>
      <w:pPr>
        <w:autoSpaceDN w:val="0"/>
        <w:autoSpaceDE w:val="0"/>
        <w:widowControl/>
        <w:spacing w:line="278" w:lineRule="auto" w:before="10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Será divulgada ata da sessão pública no sistema eletrônico.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havendo expediente ou ocorrendo qualquer fato superveniente que impeça a realização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certame na data marcada, a sessão será automaticamente transferida para o primeiro dia útil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subsequente, no mesmo horário anteriormente estabelecido, desde que não haja comunicação 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contrário, pelo Pregoeiro/Agente de Contratação.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Todas as referências de tempo no Edital, no aviso e durante a sessão pública observarão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horário de Brasília - DF.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homologação do resultado desta licitação não implicará direito à contratação.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normas disciplinadoras da licitação serão sempre interpretadas em favor da ampliação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disputa entre os interessados, desde que não comprometam o interesse da Administração, o princípio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isonomia, a finalidade e a segurança da contratação. </w:t>
      </w:r>
    </w:p>
    <w:p>
      <w:pPr>
        <w:autoSpaceDN w:val="0"/>
        <w:autoSpaceDE w:val="0"/>
        <w:widowControl/>
        <w:spacing w:line="276" w:lineRule="auto" w:before="11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licitantes assumem todos os custos de preparação e apresentação de suas propostas 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Administração não será, em nenhum caso, responsável por esses custos, independentemente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condução ou do resultado do processo licitatório. </w:t>
      </w:r>
    </w:p>
    <w:p>
      <w:pPr>
        <w:autoSpaceDN w:val="0"/>
        <w:autoSpaceDE w:val="0"/>
        <w:widowControl/>
        <w:spacing w:line="276" w:lineRule="auto" w:before="11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contagem dos prazos estabelecidos neste Edital e seus Anexos, excluir-se-á o dia do início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incluir-se-á o do vencimento. Só se iniciam e vencem os prazos em dias de expediente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Administração. </w:t>
      </w:r>
    </w:p>
    <w:p>
      <w:pPr>
        <w:autoSpaceDN w:val="0"/>
        <w:autoSpaceDE w:val="0"/>
        <w:widowControl/>
        <w:spacing w:line="276" w:lineRule="auto" w:before="120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desatendimento de exigências formais não essenciais não importará o afastamento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licitante, desde que seja possível o aproveitamento do ato, observados os princípios da isonomia e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interesse público.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caso de divergência entre disposições deste Edital e de seus anexos ou demais peças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compõem o processo, prevalecerá as deste Edital.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Edital e seus anexos estão disponíveis, na íntegra, no Portal Nacional de Contratações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Públicas (PNCP) e endereço eletrônico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FF"/>
          <w:sz w:val="24"/>
          <w:u w:val="single"/>
        </w:rPr>
        <w:hyperlink r:id="rId24" w:history="1">
          <w:r>
            <w:rPr>
              <w:rStyle w:val="Hyperlink"/>
            </w:rPr>
            <w:t>https://licitacoes.lages.sc.gov.br</w:t>
          </w:r>
        </w:hyperlink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Integram este Edital, para todos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 xml:space="preserve"> os fins e efeitos, os seguintes an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exos: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11.11.1.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Anexo I – Relação de Itens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11.11.2.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Anexo II – Minuta de Contrato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11.11.3.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Anexo III – Termo de Referência </w:t>
      </w:r>
    </w:p>
    <w:p>
      <w:pPr>
        <w:autoSpaceDN w:val="0"/>
        <w:tabs>
          <w:tab w:pos="2154" w:val="left"/>
        </w:tabs>
        <w:autoSpaceDE w:val="0"/>
        <w:widowControl/>
        <w:spacing w:line="278" w:lineRule="auto" w:before="116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11.11.3.1.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Apêndice do Anexo III – Estudo Técnico Preliminar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194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2565400</wp:posOffset>
            </wp:positionH>
            <wp:positionV relativeFrom="page">
              <wp:posOffset>3594100</wp:posOffset>
            </wp:positionV>
            <wp:extent cx="2463800" cy="635000"/>
            <wp:wrapNone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35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250"/>
        <w:gridCol w:w="3250"/>
        <w:gridCol w:w="3250"/>
      </w:tblGrid>
      <w:tr>
        <w:trPr>
          <w:trHeight w:hRule="exact" w:val="1224"/>
        </w:trPr>
        <w:tc>
          <w:tcPr>
            <w:tcW w:type="dxa" w:w="122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1872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96"/>
        </w:trPr>
        <w:tc>
          <w:tcPr>
            <w:tcW w:type="dxa" w:w="122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11.11.4.</w:t>
            </w:r>
          </w:p>
        </w:tc>
        <w:tc>
          <w:tcPr>
            <w:tcW w:type="dxa" w:w="704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6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 IV – Termo de Justificativas Técnicas </w:t>
            </w:r>
          </w:p>
        </w:tc>
        <w:tc>
          <w:tcPr>
            <w:tcW w:type="dxa" w:w="1398"/>
            <w:vMerge w:val="restart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11.11.5.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 V – Memorial Descritivo </w:t>
            </w:r>
          </w:p>
        </w:tc>
        <w:tc>
          <w:tcPr>
            <w:tcW w:type="dxa" w:w="3250"/>
            <w:vMerge/>
            <w:tcBorders>
              <w:top w:sz="7.679999828338623" w:val="single" w:color="#221F1F"/>
            </w:tcBorders>
          </w:tcPr>
          <w:p/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11.11.6.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 VI – Projetos </w:t>
            </w:r>
          </w:p>
        </w:tc>
        <w:tc>
          <w:tcPr>
            <w:tcW w:type="dxa" w:w="3250"/>
            <w:vMerge/>
            <w:tcBorders>
              <w:top w:sz="7.679999828338623" w:val="single" w:color="#221F1F"/>
            </w:tcBorders>
          </w:tcPr>
          <w:p/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11.11.7.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 VII – Planilha Orçamentária </w:t>
            </w:r>
          </w:p>
        </w:tc>
        <w:tc>
          <w:tcPr>
            <w:tcW w:type="dxa" w:w="3250"/>
            <w:vMerge/>
            <w:tcBorders>
              <w:top w:sz="7.679999828338623" w:val="single" w:color="#221F1F"/>
            </w:tcBorders>
          </w:tcPr>
          <w:p/>
        </w:tc>
      </w:tr>
      <w:tr>
        <w:trPr>
          <w:trHeight w:hRule="exact" w:val="4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2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11.11.8.</w:t>
            </w:r>
          </w:p>
        </w:tc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Anexo VIII – Planilha Orçamentária (planilha múltipla) </w:t>
            </w:r>
          </w:p>
        </w:tc>
        <w:tc>
          <w:tcPr>
            <w:tcW w:type="dxa" w:w="3250"/>
            <w:vMerge/>
            <w:tcBorders>
              <w:top w:sz="7.679999828338623" w:val="single" w:color="#221F1F"/>
            </w:tcBorders>
          </w:tcPr>
          <w:p/>
        </w:tc>
      </w:tr>
    </w:tbl>
    <w:p>
      <w:pPr>
        <w:autoSpaceDN w:val="0"/>
        <w:autoSpaceDE w:val="0"/>
        <w:widowControl/>
        <w:spacing w:line="278" w:lineRule="auto" w:before="766" w:after="318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Lages, 06 de maio de 2024 </w:t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2934" w:right="0" w:firstLine="0"/>
        <w:jc w:val="left"/>
      </w:pPr>
      <w:r>
        <w:rPr>
          <w:w w:val="98.6193611508324"/>
          <w:rFonts w:ascii="MyriadPro-Regular" w:hAnsi="MyriadPro-Regular" w:eastAsia="MyriadPro-Regular"/>
          <w:b w:val="0"/>
          <w:i w:val="0"/>
          <w:color w:val="000000"/>
          <w:sz w:val="21"/>
        </w:rPr>
        <w:t xml:space="preserve">ALEXANDRE DOS </w:t>
      </w:r>
      <w:r>
        <w:br/>
      </w:r>
      <w:r>
        <w:rPr>
          <w:w w:val="98.6193611508324"/>
          <w:rFonts w:ascii="MyriadPro-Regular" w:hAnsi="MyriadPro-Regular" w:eastAsia="MyriadPro-Regular"/>
          <w:b w:val="0"/>
          <w:i w:val="0"/>
          <w:color w:val="000000"/>
          <w:sz w:val="21"/>
        </w:rPr>
        <w:t xml:space="preserve">SANTOS </w:t>
      </w:r>
      <w:r>
        <w:br/>
      </w:r>
      <w:r>
        <w:rPr>
          <w:w w:val="98.6193611508324"/>
          <w:rFonts w:ascii="MyriadPro-Regular" w:hAnsi="MyriadPro-Regular" w:eastAsia="MyriadPro-Regular"/>
          <w:b w:val="0"/>
          <w:i w:val="0"/>
          <w:color w:val="000000"/>
          <w:sz w:val="21"/>
        </w:rPr>
        <w:t xml:space="preserve">MARTINS:0197546692 </w:t>
      </w:r>
      <w:r>
        <w:br/>
      </w:r>
      <w:r>
        <w:rPr>
          <w:w w:val="98.6193611508324"/>
          <w:rFonts w:ascii="MyriadPro-Regular" w:hAnsi="MyriadPro-Regular" w:eastAsia="MyriadPro-Regular"/>
          <w:b w:val="0"/>
          <w:i w:val="0"/>
          <w:color w:val="000000"/>
          <w:sz w:val="21"/>
        </w:rPr>
        <w:t>6</w:t>
      </w:r>
    </w:p>
    <w:p>
      <w:pPr>
        <w:sectPr>
          <w:type w:val="continuous"/>
          <w:pgSz w:w="11906" w:h="16841"/>
          <w:pgMar w:top="128" w:right="1052" w:bottom="128" w:left="1104" w:header="720" w:footer="720" w:gutter="0"/>
          <w:cols w:num="2" w:equalWidth="0">
            <w:col w:w="4888" w:space="0"/>
            <w:col w:w="4862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68"/>
        <w:ind w:left="50" w:right="2880" w:firstLine="0"/>
        <w:jc w:val="left"/>
      </w:pPr>
      <w:r>
        <w:rPr>
          <w:w w:val="101.72033945719402"/>
          <w:rFonts w:ascii="MyriadPro-Regular" w:hAnsi="MyriadPro-Regular" w:eastAsia="MyriadPro-Regular"/>
          <w:b w:val="0"/>
          <w:i w:val="0"/>
          <w:color w:val="000000"/>
          <w:sz w:val="15"/>
        </w:rPr>
        <w:t xml:space="preserve">Assinado de forma digital por </w:t>
      </w:r>
      <w:r>
        <w:br/>
      </w:r>
      <w:r>
        <w:rPr>
          <w:w w:val="101.72033945719402"/>
          <w:rFonts w:ascii="MyriadPro-Regular" w:hAnsi="MyriadPro-Regular" w:eastAsia="MyriadPro-Regular"/>
          <w:b w:val="0"/>
          <w:i w:val="0"/>
          <w:color w:val="000000"/>
          <w:sz w:val="15"/>
        </w:rPr>
        <w:t xml:space="preserve">ALEXANDRE DOS SANTOS </w:t>
      </w:r>
      <w:r>
        <w:br/>
      </w:r>
      <w:r>
        <w:rPr>
          <w:w w:val="101.72033945719402"/>
          <w:rFonts w:ascii="MyriadPro-Regular" w:hAnsi="MyriadPro-Regular" w:eastAsia="MyriadPro-Regular"/>
          <w:b w:val="0"/>
          <w:i w:val="0"/>
          <w:color w:val="000000"/>
          <w:sz w:val="15"/>
        </w:rPr>
        <w:t xml:space="preserve">MARTINS:01975466926 </w:t>
      </w:r>
      <w:r>
        <w:br/>
      </w:r>
      <w:r>
        <w:rPr>
          <w:w w:val="101.72033945719402"/>
          <w:rFonts w:ascii="MyriadPro-Regular" w:hAnsi="MyriadPro-Regular" w:eastAsia="MyriadPro-Regular"/>
          <w:b w:val="0"/>
          <w:i w:val="0"/>
          <w:color w:val="000000"/>
          <w:sz w:val="15"/>
        </w:rPr>
        <w:t xml:space="preserve">Dados: 2024.05.15 15:21:24 </w:t>
      </w:r>
      <w:r>
        <w:br/>
      </w:r>
      <w:r>
        <w:rPr>
          <w:w w:val="101.72033945719402"/>
          <w:rFonts w:ascii="MyriadPro-Regular" w:hAnsi="MyriadPro-Regular" w:eastAsia="MyriadPro-Regular"/>
          <w:b w:val="0"/>
          <w:i w:val="0"/>
          <w:color w:val="000000"/>
          <w:sz w:val="15"/>
        </w:rPr>
        <w:t>-03'00'</w:t>
      </w:r>
    </w:p>
    <w:p>
      <w:pPr>
        <w:sectPr>
          <w:type w:val="nextColumn"/>
          <w:pgSz w:w="11906" w:h="16841"/>
          <w:pgMar w:top="128" w:right="1052" w:bottom="128" w:left="1104" w:header="720" w:footer="720" w:gutter="0"/>
          <w:cols w:num="2" w:equalWidth="0">
            <w:col w:w="4888" w:space="0"/>
            <w:col w:w="4862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78" w:after="0"/>
        <w:ind w:left="2304" w:right="230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Alexandre dos Santos Martins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Secretário Municipal de Administração e Fazenda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863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type w:val="continuous"/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4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5001"/>
        <w:gridCol w:w="5001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230" w:after="160"/>
        <w:ind w:left="0" w:right="3236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ANEXO I – RELAÇÃO DE ITENS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001"/>
        <w:gridCol w:w="5001"/>
      </w:tblGrid>
      <w:tr>
        <w:trPr>
          <w:trHeight w:hRule="exact" w:val="4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5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REF.: 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37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Pregão Eletrônico nº 43/2024 </w:t>
            </w:r>
          </w:p>
        </w:tc>
      </w:tr>
      <w:tr>
        <w:trPr>
          <w:trHeight w:hRule="exact" w:val="1338"/>
        </w:trPr>
        <w:tc>
          <w:tcPr>
            <w:tcW w:type="dxa" w:w="9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276" w:lineRule="exact" w:before="174" w:after="0"/>
              <w:ind w:left="5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OBJETO: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Contratação de empresa para execução dos serviços de terraplanagem, drenagem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 obras correntes, pavimentação em ASFALTO, urbanísticos e sinalização para 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REVITALIZAÇÃO DA ANTÔNIO ESTEVES JÚNIOR – TRECHO 01– Bairro GUARUJÁ,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no município de Lages-SC </w:t>
            </w:r>
          </w:p>
        </w:tc>
      </w:tr>
    </w:tbl>
    <w:p>
      <w:pPr>
        <w:autoSpaceDN w:val="0"/>
        <w:autoSpaceDE w:val="0"/>
        <w:widowControl/>
        <w:spacing w:line="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1667"/>
        <w:gridCol w:w="1667"/>
        <w:gridCol w:w="1667"/>
        <w:gridCol w:w="1667"/>
        <w:gridCol w:w="1667"/>
        <w:gridCol w:w="1667"/>
      </w:tblGrid>
      <w:tr>
        <w:trPr>
          <w:trHeight w:hRule="exact" w:val="930"/>
        </w:trPr>
        <w:tc>
          <w:tcPr>
            <w:tcW w:type="dxa" w:w="67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ITEM </w:t>
            </w:r>
          </w:p>
        </w:tc>
        <w:tc>
          <w:tcPr>
            <w:tcW w:type="dxa" w:w="538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ESPECIFICAÇÃO </w:t>
            </w:r>
          </w:p>
        </w:tc>
        <w:tc>
          <w:tcPr>
            <w:tcW w:type="dxa" w:w="6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QTD. </w:t>
            </w:r>
          </w:p>
        </w:tc>
        <w:tc>
          <w:tcPr>
            <w:tcW w:type="dxa" w:w="62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UND. </w:t>
            </w:r>
          </w:p>
        </w:tc>
        <w:tc>
          <w:tcPr>
            <w:tcW w:type="dxa" w:w="13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VALOR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UNITÁRIO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MÁXIMO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ACEITÁVEL </w:t>
            </w:r>
          </w:p>
        </w:tc>
        <w:tc>
          <w:tcPr>
            <w:tcW w:type="dxa" w:w="133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eee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VALOR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TOTAL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MÁXIMO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ACEITÁVEL </w:t>
            </w:r>
          </w:p>
        </w:tc>
      </w:tr>
      <w:tr>
        <w:trPr>
          <w:trHeight w:hRule="exact" w:val="1780"/>
        </w:trPr>
        <w:tc>
          <w:tcPr>
            <w:tcW w:type="dxa" w:w="67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538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Execução dos serviços de terraplanagem, drenagem e obras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correntes, pavimentação em ASFALTO, urbanísticos 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sinalização para a REVITALIZAÇÃO DA ANTÔNIO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ESTEVES JÚNIOR – TRECHO 01– Bairro GUARUJÁ, no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município de Lages-SC, Conforme Planilha Orçamentária,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Planilha Quantitativa, Memorial Descritivo e Projetos 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anexo. </w:t>
            </w:r>
          </w:p>
        </w:tc>
        <w:tc>
          <w:tcPr>
            <w:tcW w:type="dxa" w:w="624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62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Sv </w:t>
            </w:r>
          </w:p>
        </w:tc>
        <w:tc>
          <w:tcPr>
            <w:tcW w:type="dxa" w:w="133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220.929,24 </w:t>
            </w:r>
          </w:p>
        </w:tc>
        <w:tc>
          <w:tcPr>
            <w:tcW w:type="dxa" w:w="133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R$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220.929,24 </w:t>
            </w:r>
          </w:p>
        </w:tc>
      </w:tr>
    </w:tbl>
    <w:p>
      <w:pPr>
        <w:autoSpaceDN w:val="0"/>
        <w:autoSpaceDE w:val="0"/>
        <w:widowControl/>
        <w:spacing w:line="332" w:lineRule="exact" w:before="248" w:after="0"/>
        <w:ind w:left="196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VALOR TOTAL ESTIMADO MÁXIMO: R$ 220.929,24 </w:t>
      </w:r>
    </w:p>
    <w:p>
      <w:pPr>
        <w:autoSpaceDN w:val="0"/>
        <w:autoSpaceDE w:val="0"/>
        <w:widowControl/>
        <w:spacing w:line="276" w:lineRule="exact" w:before="276" w:after="0"/>
        <w:ind w:left="6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NOTA: Em caso de divergência entre os itens do Edital e do Portal de Compras, prevalecem as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informações constantes do Edital.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tabs>
          <w:tab w:pos="2282" w:val="left"/>
          <w:tab w:pos="2788" w:val="left"/>
        </w:tabs>
        <w:autoSpaceDE w:val="0"/>
        <w:widowControl/>
        <w:spacing w:line="232" w:lineRule="exact" w:before="6862" w:after="0"/>
        <w:ind w:left="1858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840" w:bottom="128" w:left="10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23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ANEXO II – MINUTA DE CONTRATO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2" w:lineRule="exact" w:before="30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TERMO DE CONTRATO Nº .../..... </w:t>
      </w:r>
    </w:p>
    <w:p>
      <w:pPr>
        <w:autoSpaceDN w:val="0"/>
        <w:autoSpaceDE w:val="0"/>
        <w:widowControl/>
        <w:spacing w:line="318" w:lineRule="exact" w:before="300" w:after="0"/>
        <w:ind w:left="28" w:right="20" w:firstLine="14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MUNICÍPIO DE LAGES, por intermédio da SECRETARIA MUNICIPAL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OBRAS, com sede no(a) ....................................................., na cidade de ......................................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/Estado ..., inscrito(a) no CNPJ sob o nº ................................, neste ato representado(a) pelo(a)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........................., doravante denominado CONTRATANTE, e o(a) .............................., inscrito(a)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CNPJ sob o nº ............................, sediado(a) na ..................................., em ............................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doravante designado CONTRATADO, neste ato representado(a) por .................................. conforme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atos constitutivos da empresa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OU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procuração apresentada nos autos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tendo em vista o que consta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 de Compras nº 90/2024 e em observância às disposições da Lei nº 14.133, de 1º de abril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2021, Decreto Municipal n° 20.682/2023, e demais legislação aplicável, resolvem celebrar o presente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Termo de Contrato, decorrente da CONCORRÊNCIA ELETRÔNICA nº 43/2024, mediante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cláusulas e condições a seguir enunciadas. </w:t>
      </w:r>
    </w:p>
    <w:p>
      <w:pPr>
        <w:autoSpaceDN w:val="0"/>
        <w:autoSpaceDE w:val="0"/>
        <w:widowControl/>
        <w:spacing w:line="332" w:lineRule="exact" w:before="32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FFFFFF"/>
          <w:sz w:val="24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CLÁUSULA PRIMEIRA – OBJETO (art. 92, I e II)</w:t>
      </w:r>
    </w:p>
    <w:p>
      <w:pPr>
        <w:autoSpaceDN w:val="0"/>
        <w:autoSpaceDE w:val="0"/>
        <w:widowControl/>
        <w:spacing w:line="276" w:lineRule="auto" w:before="98" w:after="60"/>
        <w:ind w:left="462" w:right="20" w:hanging="43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Objeto desta licitação é a Contratação de empresa para execução dos serviços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terraplanagem, drenagem e obras correntes, pavimentação em ASFALTO, urbanísticos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sinalização para a REVITALIZAÇÃO DA ANTÔNIO ESTEVES JÚNIOR – TRECHO 01–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Bairro GUARUJÁ, no município de Lages-SC.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38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1.3.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Objeto da contratação: </w:t>
            </w:r>
          </w:p>
        </w:tc>
      </w:tr>
      <w:tr>
        <w:trPr>
          <w:trHeight w:hRule="exact" w:val="35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1543"/>
              <w:gridCol w:w="1543"/>
              <w:gridCol w:w="1543"/>
              <w:gridCol w:w="1543"/>
              <w:gridCol w:w="1543"/>
              <w:gridCol w:w="1543"/>
            </w:tblGrid>
            <w:tr>
              <w:trPr>
                <w:trHeight w:hRule="exact" w:val="1064"/>
              </w:trPr>
              <w:tc>
                <w:tcPr>
                  <w:tcW w:type="dxa" w:w="9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ITEM </w:t>
                  </w:r>
                </w:p>
              </w:tc>
              <w:tc>
                <w:tcPr>
                  <w:tcW w:type="dxa" w:w="2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ESPECIFICAÇÃO</w:t>
                  </w:r>
                </w:p>
              </w:tc>
              <w:tc>
                <w:tcPr>
                  <w:tcW w:type="dxa" w:w="11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UNIDADE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DE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>MEDIDA</w:t>
                  </w:r>
                </w:p>
              </w:tc>
              <w:tc>
                <w:tcPr>
                  <w:tcW w:type="dxa" w:w="1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QUANTIDADE </w:t>
                  </w:r>
                </w:p>
              </w:tc>
              <w:tc>
                <w:tcPr>
                  <w:tcW w:type="dxa" w:w="1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4" w:after="0"/>
                    <w:ind w:left="144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VALOR </w:t>
                  </w:r>
                  <w:r>
                    <w:br/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UNITÁRIO </w:t>
                  </w:r>
                </w:p>
              </w:tc>
              <w:tc>
                <w:tcPr>
                  <w:tcW w:type="dxa" w:w="9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14" w:after="0"/>
                    <w:ind w:left="144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VALOR </w:t>
                  </w: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TOTAL </w:t>
                  </w:r>
                </w:p>
              </w:tc>
            </w:tr>
            <w:tr>
              <w:trPr>
                <w:trHeight w:hRule="exact" w:val="534"/>
              </w:trPr>
              <w:tc>
                <w:tcPr>
                  <w:tcW w:type="dxa" w:w="9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3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1 </w:t>
                  </w:r>
                </w:p>
              </w:tc>
              <w:tc>
                <w:tcPr>
                  <w:tcW w:type="dxa" w:w="2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9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0" w:right="3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2 </w:t>
                  </w:r>
                </w:p>
              </w:tc>
              <w:tc>
                <w:tcPr>
                  <w:tcW w:type="dxa" w:w="2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8"/>
              </w:trPr>
              <w:tc>
                <w:tcPr>
                  <w:tcW w:type="dxa" w:w="9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36" w:firstLine="0"/>
                    <w:jc w:val="right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3 </w:t>
                  </w:r>
                </w:p>
              </w:tc>
              <w:tc>
                <w:tcPr>
                  <w:tcW w:type="dxa" w:w="255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99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 New Roman,Bold" w:hAnsi="Times New Roman,Bold" w:eastAsia="Times New Roman,Bold"/>
                      <w:b/>
                      <w:i w:val="0"/>
                      <w:color w:val="000000"/>
                      <w:sz w:val="18"/>
                    </w:rPr>
                    <w:t xml:space="preserve">... </w:t>
                  </w:r>
                </w:p>
              </w:tc>
              <w:tc>
                <w:tcPr>
                  <w:tcW w:type="dxa" w:w="2554"/>
                  <w:tcBorders>
                    <w:start w:sz="4.0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34"/>
                  <w:tcBorders>
                    <w:start w:sz="4.0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Vinculam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esta contratação, indepen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dentemente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de transcrição: </w:t>
            </w:r>
          </w:p>
        </w:tc>
      </w:tr>
      <w:tr>
        <w:trPr>
          <w:trHeight w:hRule="exact" w:val="32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1.4.1.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Termo de Referência; </w:t>
            </w:r>
          </w:p>
        </w:tc>
      </w:tr>
      <w:tr>
        <w:trPr>
          <w:trHeight w:hRule="exact" w:val="32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1.4.2.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Edital da Licitação; </w:t>
            </w:r>
          </w:p>
        </w:tc>
      </w:tr>
      <w:tr>
        <w:trPr>
          <w:trHeight w:hRule="exact" w:val="32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1.4.3.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Proposta do contratado; </w:t>
            </w:r>
          </w:p>
        </w:tc>
      </w:tr>
      <w:tr>
        <w:trPr>
          <w:trHeight w:hRule="exact" w:val="480"/>
        </w:trPr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1.4.4.</w:t>
            </w:r>
          </w:p>
        </w:tc>
        <w:tc>
          <w:tcPr>
            <w:tcW w:type="dxa" w:w="8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Eventuais anexos dos documentos supracitados. </w:t>
            </w:r>
          </w:p>
        </w:tc>
      </w:tr>
      <w:tr>
        <w:trPr>
          <w:trHeight w:hRule="exact" w:val="4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2.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SEGUNDA – VIGÊNCIA E PRORROGAÇÃO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prazo de vigência da contratação será de até 12 meses a contar da assinatura do contrato, </w:t>
            </w:r>
          </w:p>
        </w:tc>
      </w:tr>
      <w:tr>
        <w:trPr>
          <w:trHeight w:hRule="exact" w:val="682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podendo ser prorrogado, se houver interesse e conveniência da Administração, nos termos dispostos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Art. 107 da Lei nº 14.133/21.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128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49"/>
        <w:gridCol w:w="3249"/>
        <w:gridCol w:w="3249"/>
      </w:tblGrid>
      <w:tr>
        <w:trPr>
          <w:trHeight w:hRule="exact" w:val="1224"/>
        </w:trPr>
        <w:tc>
          <w:tcPr>
            <w:tcW w:type="dxa" w:w="8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6"/>
        </w:trPr>
        <w:tc>
          <w:tcPr>
            <w:tcW w:type="dxa" w:w="6498"/>
            <w:gridSpan w:val="2"/>
            <w:vMerge/>
            <w:tcBorders/>
          </w:tcPr>
          <w:p/>
        </w:tc>
        <w:tc>
          <w:tcPr>
            <w:tcW w:type="dxa" w:w="1440"/>
            <w:tcBorders>
              <w:top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86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3.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86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CLÁUSULA TERCEIRA – MODELOS DE EXECUÇÃO E GESTÃO CONTRATUAIS </w:t>
            </w:r>
          </w:p>
        </w:tc>
      </w:tr>
      <w:tr>
        <w:trPr>
          <w:trHeight w:hRule="exact" w:val="314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(art. 92, IV, VII e XVIII)</w:t>
            </w:r>
          </w:p>
        </w:tc>
      </w:tr>
      <w:tr>
        <w:trPr>
          <w:trHeight w:hRule="exact" w:val="30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regime de execução contratual, os modelos de gestão e de execução, assim como os prazos </w:t>
            </w:r>
          </w:p>
        </w:tc>
      </w:tr>
      <w:tr>
        <w:trPr>
          <w:trHeight w:hRule="exact" w:val="92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 condições de conclusão, entrega, observação e recebimento do objeto constam no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Termo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Referência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anexo a este Contrato. </w:t>
            </w:r>
          </w:p>
        </w:tc>
      </w:tr>
      <w:tr>
        <w:trPr>
          <w:trHeight w:hRule="exact" w:val="6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76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4.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76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QUARTA – SUBCONTRATAÇÃO</w:t>
            </w:r>
          </w:p>
        </w:tc>
      </w:tr>
      <w:tr>
        <w:trPr>
          <w:trHeight w:hRule="exact" w:val="6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Não será admitida a subcontratação do objeto contratual.</w:t>
            </w:r>
          </w:p>
        </w:tc>
      </w:tr>
      <w:tr>
        <w:trPr>
          <w:trHeight w:hRule="exact" w:val="5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64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5.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64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QUINTA – PREÇO (art. 92, V)</w:t>
            </w:r>
          </w:p>
        </w:tc>
      </w:tr>
      <w:tr>
        <w:trPr>
          <w:trHeight w:hRule="exact" w:val="30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valor total da contratação é de </w:t>
            </w:r>
            <w:r>
              <w:rPr>
                <w:rFonts w:ascii="Times New Roman" w:hAnsi="Times New Roman" w:eastAsia="Times New Roman"/>
                <w:b w:val="0"/>
                <w:i w:val="0"/>
                <w:color w:val="FF0000"/>
                <w:sz w:val="24"/>
              </w:rPr>
              <w:t>R$ XXXXXX (...)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5.2.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valor acima estão incluídas todas as despesas ordinárias diretas e indiretas decorrentes da </w:t>
            </w:r>
          </w:p>
        </w:tc>
      </w:tr>
      <w:tr>
        <w:trPr>
          <w:trHeight w:hRule="exact" w:val="94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1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execução do objeto, inclusive tributos e/ou impostos, encargos sociais, trabalhistas, previdenciários,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fiscais e comerciais incidentes, taxa de administração, frete, seguro e outros necessários ao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cumprimento integral do objeto da contratação.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5.3.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valor acima é meramente estimativo, de forma que os pagamentos devidos ao contratado </w:t>
            </w:r>
          </w:p>
        </w:tc>
      </w:tr>
      <w:tr>
        <w:trPr>
          <w:trHeight w:hRule="exact" w:val="48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dependerão dos quantitativos efetivamente fornecidos. </w:t>
            </w:r>
          </w:p>
        </w:tc>
      </w:tr>
      <w:tr>
        <w:trPr>
          <w:trHeight w:hRule="exact" w:val="4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5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6.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58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SEXTA - PAGAMENTO (art. 92, V e VI)</w:t>
            </w:r>
          </w:p>
        </w:tc>
      </w:tr>
      <w:tr>
        <w:trPr>
          <w:trHeight w:hRule="exact" w:val="28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prazo para pagamento ao contratado e demais condições a ele referentes encontram-se </w:t>
            </w:r>
          </w:p>
        </w:tc>
      </w:tr>
      <w:tr>
        <w:trPr>
          <w:trHeight w:hRule="exact" w:val="48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definidos no Termo de Referência, anexo a este Contrato. </w:t>
            </w:r>
          </w:p>
        </w:tc>
      </w:tr>
      <w:tr>
        <w:trPr>
          <w:trHeight w:hRule="exact" w:val="5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7.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8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SETIMA - REAJUSTE (art. 92, V)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7.1.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 preços inicialmente contratados são fixos e irreajustáveis no prazo de um ano contado da </w:t>
            </w:r>
          </w:p>
        </w:tc>
      </w:tr>
      <w:tr>
        <w:trPr>
          <w:trHeight w:hRule="exact" w:val="32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 do orçamento estimado. </w:t>
            </w:r>
          </w:p>
        </w:tc>
      </w:tr>
      <w:tr>
        <w:trPr>
          <w:trHeight w:hRule="exact" w:val="32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7.2.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Após o interregno de um ano, e independentemente de pedido do contratado, os preços iniciais </w:t>
            </w:r>
          </w:p>
        </w:tc>
      </w:tr>
      <w:tr>
        <w:trPr>
          <w:trHeight w:hRule="exact" w:val="616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serão reajustados, mediante a aplicação, pelo contratante, do índice IGP-M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4"/>
              </w:rPr>
              <w:t>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exclusivamente para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obrigações iniciadas e concluídas após a ocorrência da anualidade.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7.3.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Nos reajustes subsequentes ao primeiro, o interregno mínimo de um ano será contado a partir </w:t>
            </w:r>
          </w:p>
        </w:tc>
      </w:tr>
      <w:tr>
        <w:trPr>
          <w:trHeight w:hRule="exact" w:val="334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dos efeitos financeiros do último reajuste. </w:t>
            </w:r>
          </w:p>
        </w:tc>
      </w:tr>
      <w:tr>
        <w:trPr>
          <w:trHeight w:hRule="exact" w:val="30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7.4.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caso de atraso ou não divulgação do(s) índice (s) de reajustamento, o contratante pagará </w:t>
            </w:r>
          </w:p>
        </w:tc>
      </w:tr>
      <w:tr>
        <w:trPr>
          <w:trHeight w:hRule="exact" w:val="64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ao contratado a importância calculada pela última variação conhecida, liquidando a diferença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correspondente tão logo seja(m) divulgado(s) o(s) índice(s) definitivo(s).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7.5.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Nas aferições finais, o(s) índice(s) utilizado(s) para reajuste será(ão), obrigatoriamente, o(s) </w:t>
            </w:r>
          </w:p>
        </w:tc>
      </w:tr>
      <w:tr>
        <w:trPr>
          <w:trHeight w:hRule="exact" w:val="32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definitivo(s). 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7.6.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Caso o(s) índice(s) estabelecido(s) para reajustamento venha(m) a ser extinto(s) ou de </w:t>
            </w:r>
          </w:p>
        </w:tc>
      </w:tr>
      <w:tr>
        <w:trPr>
          <w:trHeight w:hRule="exact" w:val="64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qualquer forma não possa(m) mais ser utilizado(s), será(ão) adotado(s), em substituição, o(s) que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vier(em) a ser determinado(s) pela legislação então em vigor. </w:t>
            </w:r>
          </w:p>
        </w:tc>
      </w:tr>
      <w:tr>
        <w:trPr>
          <w:trHeight w:hRule="exact" w:val="3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7.7.</w:t>
            </w:r>
          </w:p>
        </w:tc>
        <w:tc>
          <w:tcPr>
            <w:tcW w:type="dxa" w:w="9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 ausência de previsão legal quanto ao índice substituto, as partes elegerão novo índice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oficial, para reajustamento do preço do valor remanescente, por meio de termo aditivo.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162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7.8.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reajuste será realizado por apostilamento. </w:t>
            </w:r>
          </w:p>
        </w:tc>
      </w:tr>
      <w:tr>
        <w:trPr>
          <w:trHeight w:hRule="exact" w:val="4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0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8.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0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OITAVA - OBRIGAÇÕES DO CONTRATANTE (art. 92, X, XI e XIV)</w:t>
            </w:r>
          </w:p>
        </w:tc>
      </w:tr>
      <w:tr>
        <w:trPr>
          <w:trHeight w:hRule="exact" w:val="30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São obrigações do Contratante: 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8.2.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Exigir o cumprimento de todas as obrigações assumidas pelo Contratado, de acordo com o </w:t>
            </w:r>
          </w:p>
        </w:tc>
      </w:tr>
      <w:tr>
        <w:trPr>
          <w:trHeight w:hRule="exact" w:val="32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contrato e seus anexos; </w:t>
            </w:r>
          </w:p>
        </w:tc>
      </w:tr>
      <w:tr>
        <w:trPr>
          <w:trHeight w:hRule="exact" w:val="33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8.3.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Receber o objeto no prazo e condições estabelecidas no Termo de Referência; </w:t>
            </w:r>
          </w:p>
        </w:tc>
      </w:tr>
      <w:tr>
        <w:trPr>
          <w:trHeight w:hRule="exact" w:val="30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8.4.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Notificar o Contratado, por escrito, sobre vícios, defeitos ou incorreções verificadas no objeto </w:t>
            </w:r>
          </w:p>
        </w:tc>
      </w:tr>
      <w:tr>
        <w:trPr>
          <w:trHeight w:hRule="exact" w:val="64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fornecido, para que seja por ele substituído, reparado ou corrigido, no total ou em parte, às suas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expensas;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8.5.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Acompanhar e fiscalizar a execução do contrato e o cumprimento das obrigações pelo </w:t>
            </w:r>
          </w:p>
        </w:tc>
      </w:tr>
      <w:tr>
        <w:trPr>
          <w:trHeight w:hRule="exact" w:val="30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Contratado;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8.6.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Comunicar a empresa para emissão de Nota Fiscal em relação à parcela incontroversa da </w:t>
            </w:r>
          </w:p>
        </w:tc>
      </w:tr>
      <w:tr>
        <w:trPr>
          <w:trHeight w:hRule="exact" w:val="96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" w:after="0"/>
              <w:ind w:left="32" w:right="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execução do objeto, para efeito de liquidação e pagamento, quando houver controvérsia sobre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execução do objeto, quanto à dimensão, qualidade e quantidade, conforme o art. 143 da Lei nº 14.133,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2021;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8.7.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Efetuar o pagamento ao Contratado do valor correspondente à execução do objeto, no prazo, </w:t>
            </w:r>
          </w:p>
        </w:tc>
      </w:tr>
      <w:tr>
        <w:trPr>
          <w:trHeight w:hRule="exact" w:val="32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forma e condições estabelecidos no presente Contrato e no Termo de Referência; </w:t>
            </w:r>
          </w:p>
        </w:tc>
      </w:tr>
      <w:tr>
        <w:trPr>
          <w:trHeight w:hRule="exact" w:val="32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8.8.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Aplicar ao Contratado as sanções previstas na lei e neste Contrato; </w:t>
            </w:r>
          </w:p>
        </w:tc>
      </w:tr>
      <w:tr>
        <w:trPr>
          <w:trHeight w:hRule="exact" w:val="3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8.9.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Cientificar o órgão de representação judicial da Advocacia-Geral da União para adoção das </w:t>
            </w:r>
          </w:p>
        </w:tc>
      </w:tr>
      <w:tr>
        <w:trPr>
          <w:trHeight w:hRule="exact" w:val="127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medidas cabíveis quando do descumprimento de obrigações pelo Contratado;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Explicitamente emitir decisão sobre todas as solicitações e reclamações relacionadas 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execução do presente Contrato, ressalvados os requerimentos manifestamente impertinentes,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meramente protelatórios ou de nenhum interesse para a boa execução do ajuste. </w:t>
            </w:r>
          </w:p>
        </w:tc>
      </w:tr>
      <w:tr>
        <w:trPr>
          <w:trHeight w:hRule="exact" w:val="312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8.10.1.</w:t>
            </w:r>
          </w:p>
        </w:tc>
        <w:tc>
          <w:tcPr>
            <w:tcW w:type="dxa" w:w="8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 Administração terá o prazo de 01 (um) mês, a contar da data do protocolo do </w:t>
            </w:r>
          </w:p>
        </w:tc>
      </w:tr>
      <w:tr>
        <w:trPr>
          <w:trHeight w:hRule="exact" w:val="334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requerimento para decidir, admitida a prorrogação motivada, por igual período.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Responder eventuais pedidos de reestabelecimento do equilíbrio econômico-financeiro feitos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pelo contratado.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Notificar os emitentes das garantias quanto ao início de processo administrativo para apuração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descumprimento de cláusulas contratuais.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Comunicar o Contratado na hipótese de posterior alteração do projeto pelo Contratante, no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caso do art. 93, §2º, da Lei nº 14.133, de 2021.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8.14.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Administração não responderá por quaisquer compromissos assumidos pelo Contratado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 terceiros, ainda que vinculados à execução do contrato, bem como por qualquer dano causado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terceiros em decorrência de ato do Contratado, de seus empregados, prepostos ou subordinados. </w:t>
            </w:r>
          </w:p>
        </w:tc>
      </w:tr>
      <w:tr>
        <w:trPr>
          <w:trHeight w:hRule="exact" w:val="4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9.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8" w:after="0"/>
              <w:ind w:left="1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NONA - OBRIGAÇÕES DO CONTRATADO (art. 92, XIV, XVI e XVII)</w:t>
            </w:r>
          </w:p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Contratado deve cumprir todas as obrigações constantes deste Contrato e de seus anexos, </w:t>
            </w:r>
          </w:p>
        </w:tc>
      </w:tr>
      <w:tr>
        <w:trPr>
          <w:trHeight w:hRule="exact" w:val="64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assumindo como exclusivamente seus os riscos e as despesas decorrentes da boa e perfeita execução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 objeto, observando, ainda, as obrigações a seguir dispostas: </w:t>
            </w:r>
          </w:p>
        </w:tc>
      </w:tr>
      <w:tr>
        <w:trPr>
          <w:trHeight w:hRule="exact" w:val="32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9.2.</w:t>
            </w:r>
          </w:p>
        </w:tc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Manter preposto aceito pela Administração no local do serviço para representá-lo na execução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do contrato.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38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3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9.3.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8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indicação ou a manutenção do preposto da empresa poderá ser recusada pelo órgão ou </w:t>
            </w:r>
          </w:p>
        </w:tc>
      </w:tr>
      <w:tr>
        <w:trPr>
          <w:trHeight w:hRule="exact" w:val="64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entidade, desde que devidamente justificada, devendo a empresa designar outro para o exercício 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atividade. 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9.4.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Atender às determinações regulares emitidas pelo fiscal do contrato ou autoridade superior </w:t>
            </w:r>
          </w:p>
        </w:tc>
      </w:tr>
      <w:tr>
        <w:trPr>
          <w:trHeight w:hRule="exact" w:val="30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(art. 137, II) e prestar todo esclarecimento ou informação por eles solicitados; 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9.5.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Alocar os empregados necessários ao perfeito cumprimento das cláusulas deste contrato, com </w:t>
            </w:r>
          </w:p>
        </w:tc>
      </w:tr>
      <w:tr>
        <w:trPr>
          <w:trHeight w:hRule="exact" w:val="96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" w:after="0"/>
              <w:ind w:left="32" w:right="1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habilitação e conhecimento adequados, fornecendo os materiais, equipamentos, ferramentas 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utensílios demandados, cuja quantidade, qualidade e tecnologia deverão atender às recomendações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boa técnica e a legislação de regência; 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9.6.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Reparar, corrigir, remover, reconstruir ou substituir, às suas expensas, no total ou em parte, </w:t>
            </w:r>
          </w:p>
        </w:tc>
      </w:tr>
      <w:tr>
        <w:trPr>
          <w:trHeight w:hRule="exact" w:val="62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 prazo fixado pelo fiscal do contrato, os serviços nos quais se verificarem vícios, defeitos ou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incorreções resultantes da execução ou dos materiais empregados; 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9.7.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Responsabilizar-se pelos vícios e danos decorrentes da execução do objeto, de acordo com o </w:t>
            </w:r>
          </w:p>
        </w:tc>
      </w:tr>
      <w:tr>
        <w:trPr>
          <w:trHeight w:hRule="exact" w:val="1280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32" w:right="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Código de Defesa do Consumidor (Lei nº 8.078, de 1990), bem como por todo e qualquer dano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causado à Administração ou terceiros, não reduzindo essa responsabilidade a fiscalização ou 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acompanhamento da execução contratual pelo Contratante, que ficará autorizado a descontar dos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pagamentos devidos ou da garantia, caso exigida no edital, o valor correspondente aos danos sofridos; </w:t>
            </w:r>
          </w:p>
        </w:tc>
      </w:tr>
      <w:tr>
        <w:trPr>
          <w:trHeight w:hRule="exact" w:val="32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9.8.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contratar, durante a vigência do contrato, cônjuge, companheiro ou parente em linha reta, </w:t>
            </w:r>
          </w:p>
        </w:tc>
      </w:tr>
      <w:tr>
        <w:trPr>
          <w:trHeight w:hRule="exact" w:val="638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colateral ou por afinidade, até o terceiro grau, de dirigente do contratante ou do fiscal ou gestor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contrato, nos termos do artigo 48, parágrafo único, da Lei nº 14.133, de 2021; </w:t>
            </w:r>
          </w:p>
        </w:tc>
      </w:tr>
      <w:tr>
        <w:trPr>
          <w:trHeight w:hRule="exact" w:val="30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9.9.</w:t>
            </w:r>
          </w:p>
        </w:tc>
        <w:tc>
          <w:tcPr>
            <w:tcW w:type="dxa" w:w="9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Quando não for possível a verificação da regularidade no Sistema de Cadastro de </w:t>
            </w:r>
          </w:p>
        </w:tc>
      </w:tr>
      <w:tr>
        <w:trPr>
          <w:trHeight w:hRule="exact" w:val="6108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6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Fornecedores – SICAF, o contratado deverá entregar ao setor responsável pela fiscalização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contrato, até o dia trinta do mês seguinte ao da prestação dos serviços, os seguintes documentos: 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prova de regularidade relativa à Seguridade Social; 2) certidão conjunta relativa aos tributos federais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 à Dívida Ativa da União; 3) certidões que comprovem a regularidade perante a Fazenda Municipal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 Distrital do domicílio ou sede do contratado; 4) Certidão de Regularidade do FGTS – CRF; e 5)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Certidão Negativa de Débitos Trabalhistas – CNDT;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Responsabilizar-se pelo cumprimento das obrigações previstas em Acordo, Convenção,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Dissídio Coletivo de Trabalho ou equivalentes das categorias abrangidas pelo contrato, por todas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obrigações trabalhistas, sociais, previdenciárias, tributárias e as demais previstas em legislação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específica, cuja inadimplência não transfere a responsabilidade ao Contratante;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Comunicar ao Fiscal do contrato, no prazo de 24 (vinte e quatro) horas, qualquer ocorrência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anormal ou acidente que se verifique no local dos serviços.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Prestar todo esclarecimento ou informação solicitada pelo Contratante ou por seus prepostos,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garantindo-lhes o acesso, a qualquer tempo, ao local dos trabalhos, bem como aos documentos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relativos à execução do empreendimento.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Paralisar, por determinação do Contratante, qualquer atividade que não esteja sendo executada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 acordo com a boa técnica ou que ponha em risco a segurança de pessoas ou bens de terceiros.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9.14.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Promover a guarda, manutenção e vigilância de materiais, ferramentas, e tudo o que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necessário à execução do objeto, durante a vigência do contrato.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1024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4"/>
        <w:gridCol w:w="4874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Conduzir os trabalhos com estrita observância às normas da legislação pertinente, cumprindo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determinações dos Poderes Públicos, mantendo sempre limpo o local dos serviços e nas melhores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condições de segurança, higiene e disciplina. </w:t>
      </w:r>
    </w:p>
    <w:p>
      <w:pPr>
        <w:autoSpaceDN w:val="0"/>
        <w:autoSpaceDE w:val="0"/>
        <w:widowControl/>
        <w:spacing w:line="276" w:lineRule="auto" w:before="0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Submeter previamente, por escrito, ao Contratante, para análise e aprovação, quaisquer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mudanças nos métodos executivos que fujam às especificações do memorial descritivo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instrumento congênere. </w:t>
      </w:r>
    </w:p>
    <w:p>
      <w:pPr>
        <w:autoSpaceDN w:val="0"/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permitir a utilização de qualquer trabalho do menor de dezesseis anos, exceto na condição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aprendiz para os maiores de quatorze anos, nem permitir a utilização do trabalho do menor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dezoito anos em trabalho noturno, perigoso ou insalubre;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Manter durante toda a vigência do contrato, em compatibilidade com as obrigações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assumidas, todas as condições exigidas para habilitação na licitação;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9.19.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Cumprir, durante todo o período de execução do contrato, a reserva de cargos prevista em lei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pessoa com deficiência, para reabilitado da Previdência Social ou para aprendiz, bem como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reservas de cargos previstas na legislação (art. 116);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Comprovar a reserva de cargos a que se refere a cláusula acima, no prazo fixado pelo fiscal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contrato, com a indicação dos empregados que preencheram as referidas vagas (art. 116, parágrafo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único);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Guardar sigilo sobre todas as informações obtidas em decorrência do cumprimento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Arcar com o ônus decorrente de eventual equívoco no dimensionamento dos quantitativos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sua proposta, inclusive quanto aos custos variáveis decorrentes de fatores futuros e incertos, devendo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complementá-los, caso o previsto inicialmente em sua proposta não seja satisfatório para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atendimento do objeto da contratação, exceto quando ocorrer algum dos eventos arrolados no art. </w:t>
      </w:r>
    </w:p>
    <w:p>
      <w:pPr>
        <w:autoSpaceDN w:val="0"/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124, II, d, da Lei nº 14.133, de 2021;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Cumprir, além dos postulados legais vigentes de âmbito federal, estadual ou municipal,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normas de segurança do Contratante;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Alocar os empregados necessários, com habilitação e conhecimento adequados, ao perfeito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cumprimento das cláusulas deste contrato, fornecendo os materiais, equipamentos, ferramentas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utensílios demandados, cuja quantidade, qualidade e tecnologia deverão atender às recomendações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boa técnica e a legislação de regência; </w:t>
      </w:r>
    </w:p>
    <w:p>
      <w:pPr>
        <w:autoSpaceDN w:val="0"/>
        <w:autoSpaceDE w:val="0"/>
        <w:widowControl/>
        <w:spacing w:line="276" w:lineRule="auto" w:before="11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Orientar e treinar seus empregados sobre os deveres previstos na Lei nº 13.709, de 14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agosto de 2018, adotando medidas eficazes para proteção de dados pessoais a que tenha acesso por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força da execução deste contrato; </w:t>
      </w:r>
    </w:p>
    <w:p>
      <w:pPr>
        <w:autoSpaceDN w:val="0"/>
        <w:autoSpaceDE w:val="0"/>
        <w:widowControl/>
        <w:spacing w:line="276" w:lineRule="auto" w:before="118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Conduzir os trabalhos com estrita observância às normas da legislação pertinente, cumprindo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determinações dos Poderes Públicos, mantendo sempre limpo o local de execução do objeto e nas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melhores condições de segurança, higiene e disciplina. </w:t>
      </w:r>
    </w:p>
    <w:p>
      <w:pPr>
        <w:autoSpaceDN w:val="0"/>
        <w:autoSpaceDE w:val="0"/>
        <w:widowControl/>
        <w:spacing w:line="276" w:lineRule="auto" w:before="11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Submeter previamente, por escrito, ao contratante, para análise e aprovação, quaisquer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mudanças nos métodos executivos que fujam às especificações do memorial descritivo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instrumento congênere.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922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9.28.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Não permitir a utilização de qualquer trabalho do menor de dezesseis anos, exceto na condição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aprendiz para os maiores de quatorze anos, nem permitir a utilização do trabalho do menor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dezoito anos em trabalho noturno, perigoso ou insalubre. </w:t>
      </w:r>
    </w:p>
    <w:p>
      <w:pPr>
        <w:autoSpaceDN w:val="0"/>
        <w:tabs>
          <w:tab w:pos="596" w:val="left"/>
        </w:tabs>
        <w:autoSpaceDE w:val="0"/>
        <w:widowControl/>
        <w:spacing w:line="334" w:lineRule="exact" w:before="24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FFFFFF"/>
          <w:sz w:val="24"/>
        </w:rPr>
        <w:t xml:space="preserve">10.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DÉCIMA– GARANTIA DE EXECUÇÃO (art.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hyperlink r:id="rId26" w:history="1">
          <w:r>
            <w:rPr>
              <w:rStyle w:val="Hyperlink"/>
            </w:rPr>
            <w:t xml:space="preserve">92, XII) </w:t>
          </w:r>
        </w:hyperlink>
      </w:r>
    </w:p>
    <w:p>
      <w:pPr>
        <w:autoSpaceDN w:val="0"/>
        <w:autoSpaceDE w:val="0"/>
        <w:widowControl/>
        <w:spacing w:line="276" w:lineRule="auto" w:before="5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contratação conta com garantia de execução, nos moldes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26" w:history="1">
          <w:r>
            <w:rPr>
              <w:rStyle w:val="Hyperlink"/>
            </w:rPr>
            <w:t>art. 96 da Lei nº 14.133,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 xml:space="preserve">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nas modalidades Caução em Dinheiro ou Títulos da Dívida P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6" w:history="1">
          <w:r>
            <w:rPr>
              <w:rStyle w:val="Hyperlink"/>
            </w:rPr>
            <w:t>ública e Seguro-Garantia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Fiança Bancária, a critério do Licitante, em valor correspondente a 5% (cinco por cento) do valor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 contratado. </w:t>
      </w:r>
    </w:p>
    <w:p>
      <w:pPr>
        <w:autoSpaceDN w:val="0"/>
        <w:autoSpaceDE w:val="0"/>
        <w:widowControl/>
        <w:spacing w:line="276" w:lineRule="auto" w:before="120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utilizada a modalidade de seguro-garantia, a apólice deverá ter validade durante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vigência do contrato e, por no mínimo, 60 dias após o término da vigência contratual, permanecendo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 vigor mesmo que o contratado não pague o prêmio nas datas convencionadas.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apólice do seguro garantia deverá acompanhar as modificações referentes à vigência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contrato principal mediante a emissão do respectivo endosso pela seguradora. </w:t>
      </w:r>
    </w:p>
    <w:p>
      <w:pPr>
        <w:autoSpaceDN w:val="0"/>
        <w:autoSpaceDE w:val="0"/>
        <w:widowControl/>
        <w:spacing w:line="318" w:lineRule="exact" w:before="120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Será permitida a substituição da apólice de seguro-garantia na data de renovação ou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aniversário, desde que mantidas as condições e coberturas da apólice vigente e nenhum período fique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descoberto, ressalvado o disposto no item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Erro! Fonte de referência não encontrada.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 deste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contrato.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hipótese de suspensão do contrato por ordem ou inadimplemento da Administração, 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contratado ficará desobrigado de renovar a garantia ou de endossar a apólice de seguro até a ordem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reinício da execução ou o adimplemento pela Administração.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garantia assegurará, qualquer que seja a modalidade escolhida, o pagamento de: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10.6.1.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prejuízos advindos do não cumprimento do objeto do contrato e do não adimplemento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das demais obrigações nele previstas;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10.6.2.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multas moratórias e punitivas aplicadas pela Administração à contratada; e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10.6.3.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obrigações trabalhistas e previdenciárias de qualquer natureza e para com o FGTS, não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adimplidas pelo contratado, quando couber.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modalidade seguro-garantia somente será aceita se contemplar todos os eventos indicados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item 10.6, observada a legislação que rege a matéria.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garantia em dinheiro deverá ser efetuada em favor do contratante, em conta específica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Caixa Econômica Federal, com correção monetária. </w:t>
      </w:r>
    </w:p>
    <w:p>
      <w:pPr>
        <w:autoSpaceDN w:val="0"/>
        <w:autoSpaceDE w:val="0"/>
        <w:widowControl/>
        <w:spacing w:line="276" w:lineRule="auto" w:before="116" w:after="0"/>
        <w:ind w:left="28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Caso a opção seja por utilizar títulos da dívida pública, estes devem ter sido emitidos sob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 escritural, mediante registro em sistema centralizado de liquidação e de custódia autorizado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pelo Banco Central do Brasil, e avaliados pelos seus valores econômicos, conforme definido pelo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Ministério da Economia. </w:t>
      </w:r>
    </w:p>
    <w:p>
      <w:pPr>
        <w:autoSpaceDN w:val="0"/>
        <w:autoSpaceDE w:val="0"/>
        <w:widowControl/>
        <w:spacing w:line="276" w:lineRule="auto" w:before="118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caso de garantia na modalidade de fiança bancária, deverá ser emitida por banco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instituição financeira devidamente autorizada a operar no País pelo Banco Central do Brasil, e deverá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constar expressa renúncia do fiador aos benefícios 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27" w:history="1">
          <w:r>
            <w:rPr>
              <w:rStyle w:val="Hyperlink"/>
            </w:rPr>
            <w:t>artigo 827 do Código Civil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7" w:history="1">
          <w:r>
            <w:rPr>
              <w:rStyle w:val="Hyperlink"/>
            </w:rPr>
            <w:t>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27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caso de alteração do valor do contrato, ou prorrogação de sua vigência, a garantia deverá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 ajustada ou renovada, seguindo os mesmos parâmetros utilizados quando da contratação. </w:t>
      </w:r>
    </w:p>
    <w:p>
      <w:pPr>
        <w:autoSpaceDN w:val="0"/>
        <w:autoSpaceDE w:val="0"/>
        <w:widowControl/>
        <w:spacing w:line="278" w:lineRule="auto" w:before="116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o valor da garantia for utilizado total ou parcialmente em pagamento de qualquer obrigação,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Contratado obriga-se a fazer a respectiva reposição no prazo máximo de XXXXXX (XXXXX) dias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úteis, contados da data em que for notificada.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Contratante executará a garantia na forma prevista na legislação que rege a matéria.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10.13.1.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emitente da garantia ofertada pelo contratado deverá ser notificado pelo contratante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quanto ao início de processo administrativo para apuração de descumprimento de cláusulas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contratuais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8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28" w:history="1">
          <w:r>
            <w:rPr>
              <w:rStyle w:val="Hyperlink"/>
            </w:rPr>
            <w:t>art. 137, § 4º, da Lei n.º 14.133, de 2021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8" w:history="1">
          <w:r>
            <w:rPr>
              <w:rStyle w:val="Hyperlink"/>
            </w:rPr>
            <w:t>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10.13.2.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8" w:history="1">
          <w:r>
            <w:rPr>
              <w:rStyle w:val="Hyperlink"/>
            </w:rPr>
            <w:t>Caso se trate da modalidade seguro-garan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tia, ocorrido o sinistro durante a vigência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apólice, sua caracterização e comunicação poderão ocorrer fora desta vigência, não caracterizando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fato que justifique a negativa do sinistro, desde que respeitados os prazos prescricionais aplicados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ao contrato de seguro, nos termos 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29" w:history="1">
          <w:r>
            <w:rPr>
              <w:rStyle w:val="Hyperlink"/>
            </w:rPr>
            <w:t>art. 20 da Circular Susep n° 662, de 11 de abril de 2022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>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auto" w:before="118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Extinguir-se-á a garantia com 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 xml:space="preserve"> restituição da apólice, carta fiança ou autorização pa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liberação de importâncias depositadas em dinheiro a título de garantia, acompanhada de declaração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 contratante, mediante termo circunstanciado, de que o contratado cumpriu todas as cláusulas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contrato; </w:t>
      </w:r>
    </w:p>
    <w:p>
      <w:pPr>
        <w:autoSpaceDN w:val="0"/>
        <w:autoSpaceDE w:val="0"/>
        <w:widowControl/>
        <w:spacing w:line="276" w:lineRule="auto" w:before="118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garantia somente será liberada ou restituída após a fiel execução do contrato ou após a sua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extinção por culpa exclusiva da Administração e, quando em dinheiro, será atualizada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monetariamente. </w:t>
      </w:r>
    </w:p>
    <w:p>
      <w:pPr>
        <w:autoSpaceDN w:val="0"/>
        <w:autoSpaceDE w:val="0"/>
        <w:widowControl/>
        <w:spacing w:line="278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10.16.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garantidor não é parte para figurar em processo administrativo instaurado pelo contratante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 o objetivo de apurar prejuízos e/ou aplicar sanções à contratada.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10.16.1.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contratado autoriza o contratante a reter, a qualquer tempo, a garantia, na forma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prevista neste Contrato.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10.16.2.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Além da garantia de que tratam os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26" w:history="1">
          <w:r>
            <w:rPr>
              <w:rStyle w:val="Hyperlink"/>
            </w:rPr>
            <w:t>arts. 96 e seguintes da Lei nº 14.133/21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6" w:history="1">
          <w:r>
            <w:rPr>
              <w:rStyle w:val="Hyperlink"/>
            </w:rPr>
            <w:t>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presente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contratação possui previsão de garantia contra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26" w:history="1">
          <w:r>
            <w:rPr>
              <w:rStyle w:val="Hyperlink"/>
            </w:rPr>
            <w:t>tual do bem a ser fornecido, incluindo 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anutenção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assistência técnica, conforme condições estabelecidas no Termo de Referência.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10.16.3.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garantia de execução é independente de eventual garantia do produto prevista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especificamente no Termo de Referência. </w:t>
      </w:r>
    </w:p>
    <w:p>
      <w:pPr>
        <w:autoSpaceDN w:val="0"/>
        <w:tabs>
          <w:tab w:pos="596" w:val="left"/>
        </w:tabs>
        <w:autoSpaceDE w:val="0"/>
        <w:widowControl/>
        <w:spacing w:line="312" w:lineRule="exact" w:before="4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11.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 PRIMEIRA- OBRIGAÇÕES PERTINENTES À LGPD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As partes deverão cumprir 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30" w:history="1">
          <w:r>
            <w:rPr>
              <w:rStyle w:val="Hyperlink"/>
            </w:rPr>
            <w:t>Lei nº 13.709, de 14 de agosto de 2018 (LGPD)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30" w:history="1">
          <w:r>
            <w:rPr>
              <w:rStyle w:val="Hyperlink"/>
            </w:rPr>
            <w:t>,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quanto a todos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os dados pessoais a que tenham 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30" w:history="1">
          <w:r>
            <w:rPr>
              <w:rStyle w:val="Hyperlink"/>
            </w:rPr>
            <w:t>cesso em razão do certame ou do contrato adm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inistrativo 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eventualmente venha a ser firmado, a partir da apresentação da proposta no procedimento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contratação, independentemente de declaração ou de aceitação expressa. </w:t>
      </w:r>
    </w:p>
    <w:p>
      <w:pPr>
        <w:autoSpaceDN w:val="0"/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dados obtidos somente poderão ser utilizados para as finalidades que justificaram seu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acesso e de acordo com a boa-fé e com os princípios do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hyperlink r:id="rId31" w:history="1">
          <w:r>
            <w:rPr>
              <w:rStyle w:val="Hyperlink"/>
            </w:rPr>
            <w:t>art. 6º da LGPD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hyperlink r:id="rId31" w:history="1">
          <w:r>
            <w:rPr>
              <w:rStyle w:val="Hyperlink"/>
            </w:rPr>
            <w:t>.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71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29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2437"/>
        <w:gridCol w:w="2437"/>
        <w:gridCol w:w="2437"/>
        <w:gridCol w:w="2437"/>
      </w:tblGrid>
      <w:tr>
        <w:trPr>
          <w:trHeight w:hRule="exact" w:val="1222"/>
        </w:trPr>
        <w:tc>
          <w:tcPr>
            <w:tcW w:type="dxa" w:w="8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198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28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É vedado o compartilhamento com terceiros dos dados obtidos fora das hipóteses permitidas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em Lei.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Administração deverá ser informada no prazo de 5 (cinco) dias úteis sobre todos 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contratos de suboperação firmados ou que venham a ser celebrados pelo Contratado.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Terminado o tratamento dos dados nos termos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art. 15 da LGPD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é dever do contratado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eliminá-los, com exceção das hipóteses do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art. 16 da L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GPD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 xml:space="preserve"> incluindo 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quelas em que houver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necessidade de guarda de documentação par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3" w:history="1">
                <w:r>
                  <w:rPr>
                    <w:rStyle w:val="Hyperlink"/>
                  </w:rPr>
                  <w:t>a fins de comprova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ção do cumprimento de obrigações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legais ou contratuais e somente enquanto não prescritas essas obrigações.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É dever do contratado orientar e treinar seus empregados sobre os deveres, requisitos 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responsabilidades decorrentes da LGPD.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11.7.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Contratado deverá exigir de suboperadores e subcontratados o cumprimento dos deveres 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presente cláusula, permanecendo integralmente responsável por garantir sua observância.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11.8.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Contratante poderá realizar diligência para aferir o cumprimento dessa cláusula, devendo 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Contratado atender prontamente eventuais pedidos de comprovação formulados.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11.9.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Contratado deverá prestar, no prazo fixado pelo Contratante, prorrogável justificadamente,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quaisquer informações acerca dos dados pessoais para cumprimento da LGPD, inclusive quanto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eventual descarte realizado.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32" w:right="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11.10.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Bancos de dados formados a partir de contratos administrativos, notadamente aqueles que 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proponham a armazenar dados pessoais, devem ser mantidos em ambiente virtual controlado, com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registro individual rastreável de tratamentos realizados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LGPD, art. 37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com cada acesso, data,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horário e registro da finalidade, para efeito de responsab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ilização, em cas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de eventuais omissões,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desvios ou abusos. </w:t>
            </w:r>
          </w:p>
        </w:tc>
      </w:tr>
      <w:tr>
        <w:trPr>
          <w:trHeight w:hRule="exact" w:val="320"/>
        </w:trPr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6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11.10.1.</w:t>
            </w:r>
          </w:p>
        </w:tc>
        <w:tc>
          <w:tcPr>
            <w:tcW w:type="dxa" w:w="8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Os referidos bancos de dados devem ser desenvolvidos em formato interoperável, a </w:t>
            </w:r>
          </w:p>
        </w:tc>
      </w:tr>
      <w:tr>
        <w:trPr>
          <w:trHeight w:hRule="exact" w:val="206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32" w:right="0" w:firstLine="284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fim de garantir a reutilização desses dados pela Administração nas hipóteses previstas na LGPD.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 contrato está sujeito a ser alterado nos procedimentos pertinentes ao tratamento de dados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pessoais, quando indicado pela autoridade competente, em especial a ANPD por meio de opiniões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técnicas ou recomendações, editadas na forma da LGPD.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11.12.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Os contratos e convênios de que trata 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§ 1º do art. 26 da LGPD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deverão ser comunicados à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autoridade nacional. </w:t>
            </w:r>
          </w:p>
        </w:tc>
      </w:tr>
      <w:tr>
        <w:trPr>
          <w:trHeight w:hRule="exact" w:val="5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12.</w:t>
            </w:r>
          </w:p>
        </w:tc>
        <w:tc>
          <w:tcPr>
            <w:tcW w:type="dxa" w:w="9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CLÁUSULA DÉCIMA SEGUNDA – INFRAÇÕES E SANÇÕES ADMINISTRATIVAS </w:t>
            </w:r>
          </w:p>
        </w:tc>
      </w:tr>
      <w:tr>
        <w:trPr>
          <w:trHeight w:hRule="exact" w:val="284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316" w:lineRule="exact" w:before="18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(art. 92, XIV)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Comete infração administrativa, nos termos da Lei nº 14.133, de 2021, o contratado que: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Der causa à inexecução parcial do contrato;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Der causa à inexecução parcial do contrato que cause grave dano à Administração ou ao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funcionamento dos serviços públicos ou ao interesse coletivo;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Der causa à inexecução total do contrato;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Ensejar o retardamento da execução ou da entrega do objeto da contratação sem motivo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justificado;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Apresentar documentação falsa ou prestar declaração falsa durante a execução do contrato; </w:t>
            </w:r>
          </w:p>
        </w:tc>
      </w:tr>
      <w:tr>
        <w:trPr>
          <w:trHeight w:hRule="exact" w:val="32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f)</w:t>
            </w:r>
          </w:p>
        </w:tc>
        <w:tc>
          <w:tcPr>
            <w:tcW w:type="dxa" w:w="9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Praticar ato fraudulento na execução do contrato; </w:t>
            </w:r>
          </w:p>
        </w:tc>
      </w:tr>
      <w:tr>
        <w:trPr>
          <w:trHeight w:hRule="exact" w:val="380"/>
        </w:trPr>
        <w:tc>
          <w:tcPr>
            <w:tcW w:type="dxa" w:w="9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g)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Comportar-se de modo inidôneo ou cometer fraude de qualquer natureza; </w:t>
            </w:r>
          </w:p>
        </w:tc>
      </w:tr>
    </w:tbl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38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58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8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h)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Praticar ato lesivo previsto no art. 5º da Lei nº 12.846, de 1º de agosto de 2013.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12.2.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Serão aplicadas ao contratado que incorrer nas infrações acima descritas as seguintes sanções: </w:t>
            </w:r>
          </w:p>
        </w:tc>
      </w:tr>
      <w:tr>
        <w:trPr>
          <w:trHeight w:hRule="exact" w:val="3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i)</w:t>
            </w:r>
          </w:p>
        </w:tc>
        <w:tc>
          <w:tcPr>
            <w:tcW w:type="dxa" w:w="9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1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Advertência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quando o contratado der causa à inexecução parcial do contrato, sempre que </w:t>
            </w:r>
          </w:p>
        </w:tc>
      </w:tr>
      <w:tr>
        <w:trPr>
          <w:trHeight w:hRule="exact" w:val="1926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3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não se justificar a imposição de penalidade mais grave (art. 156, §2º, da Lei nº 14.133, de 2021);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ii)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Impedimento de licitar e contratar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quando praticadas as condutas descritas nas alíneas “b”,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“c” e “d” do subitem acima deste Contrato, sempre que não se justificar a imposição de penalidade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mais grave (art. 156, § 4º, da Lei nº 14.133, de 2021);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iii)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Declaração de inidoneidade para licitar e contratar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quando praticadas as condutas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descritas nas alíneas “e”, “f”, “g” e “h” do subitem acima deste Contrato, bem como nas alíneas 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“b”, “c” e “d”, que justifiquem a imposição de penalidade mais grave (art. 156, §5º, da Lei nº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14.133, de 2021).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iv)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Multa.</w:t>
      </w:r>
    </w:p>
    <w:p>
      <w:pPr>
        <w:autoSpaceDN w:val="0"/>
        <w:autoSpaceDE w:val="0"/>
        <w:widowControl/>
        <w:spacing w:line="278" w:lineRule="auto" w:before="10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multa moratória será de 0,5% (zero vírgula cinco por cento) até 30% (trinta por cento) por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 de atraso injustificado sobre o valor da parcela inadimplida, até o limite de 60 (sessenta) dias; </w:t>
      </w:r>
    </w:p>
    <w:p>
      <w:pPr>
        <w:autoSpaceDN w:val="0"/>
        <w:autoSpaceDE w:val="0"/>
        <w:widowControl/>
        <w:spacing w:line="278" w:lineRule="auto" w:before="116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multas abaixo serão recolhidas no prazo máximo de 30 (trinta) dias, a contar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comunicação oficial: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12.4.1.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Compensatória, para as infrações descritas nas alíneas “e” a “h” do subitem 12.1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Minuta do Contrato, de 30% do valor do contrato;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12.4.2.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Compensatória, para a inexecução total do contrato prevista na alínea “c” do subitem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12.1 da Minuta do Contrato, de 20% do valor do contrato;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12.4.3.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infração descrita na alínea “b” do subitem 12.1 da Minuta do Contrato, a multa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será de 20% do valor do contrato;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12.4.4.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infrações descritas nas alíneas “d” do subitem 12.1 da Minuta do Contrato,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multa será de 20% do valor do contrato; </w:t>
      </w:r>
    </w:p>
    <w:p>
      <w:pPr>
        <w:autoSpaceDN w:val="0"/>
        <w:tabs>
          <w:tab w:pos="1446" w:val="left"/>
        </w:tabs>
        <w:autoSpaceDE w:val="0"/>
        <w:widowControl/>
        <w:spacing w:line="276" w:lineRule="auto" w:before="12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12.4.5.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infração descrita na alínea “a” do subitem 12.1 da Minuta do Contrato, a multa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será de 10% do valor do contrato. </w:t>
      </w:r>
    </w:p>
    <w:p>
      <w:pPr>
        <w:autoSpaceDN w:val="0"/>
        <w:autoSpaceDE w:val="0"/>
        <w:widowControl/>
        <w:spacing w:line="276" w:lineRule="auto" w:before="11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aplicação das sanções previstas neste Contrato não exclui, em hipótese alguma, a obrigação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reparação integral do dano causado ao Contratante (art. 156, §9º, da Lei nº 14.133, de 2021)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Todas as sanções previstas neste Contrato poderão ser aplicadas cumulativamente com a multa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(art. 156, §7º, da Lei nº 14.133, de 2021). </w:t>
      </w:r>
    </w:p>
    <w:p>
      <w:pPr>
        <w:autoSpaceDN w:val="0"/>
        <w:tabs>
          <w:tab w:pos="312" w:val="left"/>
          <w:tab w:pos="1446" w:val="left"/>
        </w:tabs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12.6.1.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Antes da aplicação da multa será facultada a defesa do interessado no prazo de 15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(quinze) dias úteis, contado da data de sua intimação (art. 157, da Lei nº 14.133, de 2021)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a multa aplicada e as indenizações cabíveis forem superiores ao valor do pagamento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eventualmente devido pelo Contratante ao Contratado, além da perda desse valor, a diferença será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descontada da garantia prestada ou será cobrada judicialmente (art. 156, §8º, da Lei nº 14.133,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2021). </w:t>
      </w:r>
    </w:p>
    <w:p>
      <w:pPr>
        <w:autoSpaceDN w:val="0"/>
        <w:autoSpaceDE w:val="0"/>
        <w:widowControl/>
        <w:spacing w:line="318" w:lineRule="exact" w:before="4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Previamente ao encaminhamento à cobrança judicial, a multa poderá ser recolhida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administrativamente no prazo máximo de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30 (trinta)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dias, a contar da data do recebimento 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comunicação enviada pela autoridade competente.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442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4"/>
        <w:gridCol w:w="4874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18" w:lineRule="exact" w:before="228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aplicação das sanções realizar-se-á em processo administrativo que assegure o contraditório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a ampla defesa ao Contratado, observando-se o procedimento previsto no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caput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parágrafos do art.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158 da Lei nº 14.133, de 2021, para as penalidades de impedimento de licitar e contratar e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declaração de inidoneidade para licitar ou contratar. </w:t>
      </w:r>
    </w:p>
    <w:p>
      <w:pPr>
        <w:autoSpaceDN w:val="0"/>
        <w:autoSpaceDE w:val="0"/>
        <w:widowControl/>
        <w:spacing w:line="276" w:lineRule="auto" w:before="0" w:after="0"/>
        <w:ind w:left="312" w:right="0" w:hanging="284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aplicação das sanções serão considerados (art. 156, §1º, da Lei nº 14.133, de 2021):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natureza e a gravidade da infração cometida;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peculiaridades do caso concreto;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circunstâncias agravantes ou atenuantes;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danos que dela provierem para o Contratante;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implantação ou o aperfeiçoamento de programa de integridade, conforme normas 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orientações dos órgãos de controle. </w:t>
      </w:r>
    </w:p>
    <w:p>
      <w:pPr>
        <w:autoSpaceDN w:val="0"/>
        <w:autoSpaceDE w:val="0"/>
        <w:widowControl/>
        <w:spacing w:line="276" w:lineRule="auto" w:before="0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atos previstos como infrações administrativas na Lei nº 14.133, de 2021, ou em outras leis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licitações e contratos da Administração Pública que também sejam tipificados como atos lesivos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Lei nº 12.846, de 2013, serão apurados e julgados conjuntamente, nos mesmos autos, observados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rito procedimental e autoridade competente definidos na referida Lei (art. 159). </w:t>
      </w:r>
    </w:p>
    <w:p>
      <w:pPr>
        <w:autoSpaceDN w:val="0"/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personalidade jurídica do Contratado poderá ser desconsiderada sempre que utilizada com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abuso do direito para facilitar, encobrir ou dissimular a prática dos atos ilícitos previstos neste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Contrato ou para provocar confusão patrimonial, e, nesse caso, todos os efeitos das sanções aplicadas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à pessoa jurídica serão estendidos aos seus administradores e sócios com poderes de administração,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à pessoa jurídica sucessora ou à empresa do mesmo ramo com relação de coligação ou controle,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fato ou de direito, com o Contratado, observados, em todos os casos, o contraditório, a ampla defesa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a obrigatoriedade de análise jurídica prévia (art. 160, da Lei nº 14.133, de 2021)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 Contratante deverá, no prazo máximo de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15 (quinze) dias úteis, contado da data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aplicação da sanção, informar e manter atualizados os dados relativos às sanções por ela aplicadas,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para fins de publicidade no Cadastro Nacional de Empresas Inidôneas e Suspensas (Ceis) e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Cadastro Nacional de Empresas Punidas (Cnep), instituídos no âmbito do Poder Executivo Federal. </w:t>
      </w:r>
    </w:p>
    <w:p>
      <w:pPr>
        <w:autoSpaceDN w:val="0"/>
        <w:autoSpaceDE w:val="0"/>
        <w:widowControl/>
        <w:spacing w:line="276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(Art. 161, da Lei nº 14.133, de 2021)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sanções de impedimento de licitar e contratar e declaração de inidoneidade para licitar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contratar são passíveis de reabilitação na forma do art. 163 da Lei nº 14.133/21.</w:t>
      </w:r>
    </w:p>
    <w:p>
      <w:pPr>
        <w:autoSpaceDN w:val="0"/>
        <w:autoSpaceDE w:val="0"/>
        <w:widowControl/>
        <w:spacing w:line="276" w:lineRule="auto" w:before="0" w:after="0"/>
        <w:ind w:left="28" w:right="2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débitos do contratado para com a Administração contratante, resultantes de multa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administrativa e/ou indenizações, não inscritos em dívida ativa, poderão ser compensados, total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parcialmente, com os créditos devidos pelo referido órgão decorrentes deste mesmo contrato ou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outros contratos administrativos que o contratado possua com o mesmo órgão ora contratante,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 da Instrução Normativa SEGES/ME nº 26, de 13 de abril de 2022. </w:t>
      </w:r>
    </w:p>
    <w:p>
      <w:pPr>
        <w:autoSpaceDN w:val="0"/>
        <w:tabs>
          <w:tab w:pos="596" w:val="left"/>
        </w:tabs>
        <w:autoSpaceDE w:val="0"/>
        <w:widowControl/>
        <w:spacing w:line="312" w:lineRule="exact" w:before="34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FFFFFF"/>
          <w:sz w:val="24"/>
        </w:rPr>
        <w:t xml:space="preserve">13.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 TERCEIRA – DA EXTINÇÃO CONTRATUAL (art. 92, XIX)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contrato poderá ser extinto antes de cumpridas as obrigações nele estipuladas, ou antes 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prazo nele fixado, por algum dos motivos previstos no artigo 137 da Lei nº 14.133/21, bem como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amigavelmente, assegurados o contraditório e a ampla defesa.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13.1.1.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Nesta hipótese, aplicam-se também os artigos 138 e 139 da mesma Lei. </w:t>
      </w:r>
    </w:p>
    <w:p>
      <w:pPr>
        <w:autoSpaceDN w:val="0"/>
        <w:autoSpaceDE w:val="0"/>
        <w:widowControl/>
        <w:spacing w:line="278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alteração social ou a modificação da finalidade ou da estrutura da empresa não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13.1.2.</w:t>
      </w:r>
    </w:p>
    <w:p>
      <w:pPr>
        <w:autoSpaceDN w:val="0"/>
        <w:autoSpaceDE w:val="0"/>
        <w:widowControl/>
        <w:spacing w:line="278" w:lineRule="auto" w:before="0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ensejará a extinção se não restringir sua capacidade de concluir o contrato.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44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4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75"/>
        <w:gridCol w:w="4875"/>
      </w:tblGrid>
      <w:tr>
        <w:trPr>
          <w:trHeight w:hRule="exact" w:val="1224"/>
        </w:trPr>
        <w:tc>
          <w:tcPr>
            <w:tcW w:type="dxa" w:w="8260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024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398"/>
            <w:tcBorders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6" w:lineRule="auto" w:before="226" w:after="0"/>
        <w:ind w:left="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13.1.2.1.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 a operação implicar mudança da pessoa jurídica contratada, deverá ser formalizado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termo aditivo para alteração subjetiva. </w:t>
      </w:r>
    </w:p>
    <w:p>
      <w:pPr>
        <w:autoSpaceDN w:val="0"/>
        <w:autoSpaceDE w:val="0"/>
        <w:widowControl/>
        <w:spacing w:line="281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termo de extinção, sempre que possível, será precedido: 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8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13.2.1.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Balanço dos eventos contratuais já cumpridos ou parcialmente cumpridos;</w:t>
      </w:r>
    </w:p>
    <w:p>
      <w:pPr>
        <w:autoSpaceDN w:val="0"/>
        <w:tabs>
          <w:tab w:pos="1446" w:val="left"/>
        </w:tabs>
        <w:autoSpaceDE w:val="0"/>
        <w:widowControl/>
        <w:spacing w:line="281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13.2.2.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Relação dos pagamentos já efetuados e ainda devidos;</w:t>
      </w:r>
    </w:p>
    <w:p>
      <w:pPr>
        <w:autoSpaceDN w:val="0"/>
        <w:tabs>
          <w:tab w:pos="1446" w:val="left"/>
        </w:tabs>
        <w:autoSpaceDE w:val="0"/>
        <w:widowControl/>
        <w:spacing w:line="278" w:lineRule="auto" w:before="116" w:after="0"/>
        <w:ind w:left="3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13.2.3.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Indenizações e multas.</w:t>
      </w:r>
    </w:p>
    <w:p>
      <w:pPr>
        <w:autoSpaceDN w:val="0"/>
        <w:autoSpaceDE w:val="0"/>
        <w:widowControl/>
        <w:spacing w:line="320" w:lineRule="exact" w:before="116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extinção do contrato não configura óbice para o reconhecimento do desequilíbrio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econômico-financeiro, hipótese em que será concedida indenização por meio de termo indenizatório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(art. 131,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caput,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 Lei n.º 14.133, de 2021). </w:t>
      </w:r>
    </w:p>
    <w:p>
      <w:pPr>
        <w:autoSpaceDN w:val="0"/>
        <w:autoSpaceDE w:val="0"/>
        <w:widowControl/>
        <w:spacing w:line="276" w:lineRule="auto" w:before="0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contrato poderá ser extinto caso se constate que o contratado mantém vínculo de natureza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técnica, comercial, econômica, financeira, trabalhista ou civil com dirigente do órgão ou entidade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contratante ou com agente público que tenha desempenhado função na licitação ou atue na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fiscalização ou na gestão do contrato, ou que deles seja cônjuge, companheiro ou parente em linha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reta, colateral ou por afinidade, até o terceiro grau (art. 14, inciso IV, da Lei n.º 14.133, de 2021). </w:t>
      </w:r>
    </w:p>
    <w:p>
      <w:pPr>
        <w:autoSpaceDN w:val="0"/>
        <w:tabs>
          <w:tab w:pos="596" w:val="left"/>
        </w:tabs>
        <w:autoSpaceDE w:val="0"/>
        <w:widowControl/>
        <w:spacing w:line="332" w:lineRule="exact" w:before="32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14.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 QUARTA – DOTAÇÃO ORÇAMENTÁRIA (art. 92, VIII) </w:t>
      </w:r>
    </w:p>
    <w:p>
      <w:pPr>
        <w:autoSpaceDN w:val="0"/>
        <w:autoSpaceDE w:val="0"/>
        <w:widowControl/>
        <w:spacing w:line="276" w:lineRule="auto" w:before="100" w:after="0"/>
        <w:ind w:left="28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objeto da presente licitação será contratado com recursos: 100% da União, provisionados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 conta nº OBRAS DE PAVIMENTAÇÃO E INFRAESTRUTURA URBANA 09.001-1.274,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código de despesa nº 67, elemento de despesa nº 44905191. </w:t>
      </w:r>
    </w:p>
    <w:p>
      <w:pPr>
        <w:autoSpaceDN w:val="0"/>
        <w:tabs>
          <w:tab w:pos="596" w:val="left"/>
        </w:tabs>
        <w:autoSpaceDE w:val="0"/>
        <w:widowControl/>
        <w:spacing w:line="312" w:lineRule="exact" w:before="58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FFFFFF"/>
          <w:sz w:val="24"/>
        </w:rPr>
        <w:t xml:space="preserve">15.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 QUINTA – DOS CASOS OMISSOS (art. 92, III)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 casos omissos serão decididos pelo contratante, segundo as disposições contidas na Lei nº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14.133, de 2021, e demais normas federais aplicáveis e, subsidiariamente, segundo as disposições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contidas na Lei nº 8.078, de 1990 – Código de Defesa do Consumidor – e normas e princípios gerais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dos contratos. </w:t>
      </w:r>
    </w:p>
    <w:p>
      <w:pPr>
        <w:autoSpaceDN w:val="0"/>
        <w:tabs>
          <w:tab w:pos="596" w:val="left"/>
        </w:tabs>
        <w:autoSpaceDE w:val="0"/>
        <w:widowControl/>
        <w:spacing w:line="308" w:lineRule="exact" w:before="34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FFFFFF"/>
          <w:sz w:val="24"/>
        </w:rPr>
        <w:t xml:space="preserve">16.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CLÁUSULA DÉCIMA SEXTA – ALTERAÇÕES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Eventuais alterações contratuais reger-se-ão pela disciplina dos arts. 124 e seguintes da Lei nº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14.133, de 2021. </w:t>
      </w:r>
    </w:p>
    <w:p>
      <w:pPr>
        <w:autoSpaceDN w:val="0"/>
        <w:autoSpaceDE w:val="0"/>
        <w:widowControl/>
        <w:spacing w:line="276" w:lineRule="auto" w:before="0" w:after="0"/>
        <w:ind w:left="28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contratado é obrigado a aceitar, nas mesmas condições contratuais, os acréscimos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supressões que se fizerem necessários, até o limite de 25% (vinte e cinco por cento) do valor inicial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atualizado do contrato. </w:t>
      </w:r>
    </w:p>
    <w:p>
      <w:pPr>
        <w:autoSpaceDN w:val="0"/>
        <w:autoSpaceDE w:val="0"/>
        <w:widowControl/>
        <w:spacing w:line="276" w:lineRule="auto" w:before="0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alterações contratuais deverão ser promovidas mediante celebração de termo aditivo,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submetido à prévia aprovação da consultoria jurídica do contratante, salvo nos casos de justificada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necessidade de antecipação de seus efeitos, hipótese em que a formalização do aditivo deverá ocorrer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prazo máximo de 1 (um) mês (art. 132 da Lei nº 14.133, de 2021). </w:t>
      </w: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16.4.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Registros que não caracterizam alteração do contrato podem ser realizados por simples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apostila, dispensada a celebração de termo aditivo, na forma do art. 136 da Lei nº 14.133, de 2021.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87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p>
      <w:pPr>
        <w:sectPr>
          <w:pgSz w:w="11906" w:h="16841"/>
          <w:pgMar w:top="128" w:right="1052" w:bottom="12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1336040</wp:posOffset>
            </wp:positionH>
            <wp:positionV relativeFrom="page">
              <wp:posOffset>481330</wp:posOffset>
            </wp:positionV>
            <wp:extent cx="95250" cy="128588"/>
            <wp:wrapNone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1452880</wp:posOffset>
            </wp:positionH>
            <wp:positionV relativeFrom="page">
              <wp:posOffset>481330</wp:posOffset>
            </wp:positionV>
            <wp:extent cx="85089" cy="127634"/>
            <wp:wrapNone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1563370</wp:posOffset>
            </wp:positionH>
            <wp:positionV relativeFrom="page">
              <wp:posOffset>481330</wp:posOffset>
            </wp:positionV>
            <wp:extent cx="81280" cy="129092"/>
            <wp:wrapNone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1290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1668780</wp:posOffset>
            </wp:positionH>
            <wp:positionV relativeFrom="page">
              <wp:posOffset>481330</wp:posOffset>
            </wp:positionV>
            <wp:extent cx="85089" cy="127634"/>
            <wp:wrapNone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2763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1780539</wp:posOffset>
            </wp:positionH>
            <wp:positionV relativeFrom="page">
              <wp:posOffset>481330</wp:posOffset>
            </wp:positionV>
            <wp:extent cx="256540" cy="128270"/>
            <wp:wrapNone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128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2066289</wp:posOffset>
            </wp:positionH>
            <wp:positionV relativeFrom="page">
              <wp:posOffset>481330</wp:posOffset>
            </wp:positionV>
            <wp:extent cx="228600" cy="128588"/>
            <wp:wrapNone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5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469900</wp:posOffset>
            </wp:positionV>
            <wp:extent cx="1879600" cy="546100"/>
            <wp:wrapNone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2357120</wp:posOffset>
            </wp:positionH>
            <wp:positionV relativeFrom="page">
              <wp:posOffset>481330</wp:posOffset>
            </wp:positionV>
            <wp:extent cx="113030" cy="127159"/>
            <wp:wrapNone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271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2491740</wp:posOffset>
            </wp:positionH>
            <wp:positionV relativeFrom="page">
              <wp:posOffset>481330</wp:posOffset>
            </wp:positionV>
            <wp:extent cx="86360" cy="122722"/>
            <wp:wrapNone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60" cy="1227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1225550</wp:posOffset>
            </wp:positionH>
            <wp:positionV relativeFrom="page">
              <wp:posOffset>481330</wp:posOffset>
            </wp:positionV>
            <wp:extent cx="87630" cy="131445"/>
            <wp:wrapNone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31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auto" w:before="0" w:after="138"/>
        <w:ind w:left="0" w:right="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3250"/>
        <w:gridCol w:w="3250"/>
        <w:gridCol w:w="3250"/>
      </w:tblGrid>
      <w:tr>
        <w:trPr>
          <w:trHeight w:hRule="exact" w:val="1222"/>
        </w:trPr>
        <w:tc>
          <w:tcPr>
            <w:tcW w:type="dxa" w:w="8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3168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MUNICÍPIO DE LAGES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ESTADO DE SANTA CATARINA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6C6C6C"/>
                <w:sz w:val="20"/>
              </w:rPr>
              <w:t xml:space="preserve">SECRETARIA DE ADMINISTRAÇÃO E FAZENDA </w:t>
            </w:r>
            <w:r>
              <w:rPr>
                <w:rFonts w:ascii="Times New Roman" w:hAnsi="Times New Roman" w:eastAsia="Times New Roman"/>
                <w:b w:val="0"/>
                <w:i w:val="0"/>
                <w:color w:val="6C6C6C"/>
                <w:sz w:val="20"/>
              </w:rPr>
              <w:t>SETOR DE LICITAÇÕES E CONTRATOS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7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8639" cy="53721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5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17.</w:t>
            </w:r>
          </w:p>
        </w:tc>
        <w:tc>
          <w:tcPr>
            <w:tcW w:type="dxa" w:w="9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2" w:after="0"/>
              <w:ind w:left="14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DÉCIMA SÉTIMA – PUBLICAÇÃO</w:t>
            </w:r>
          </w:p>
        </w:tc>
      </w:tr>
      <w:tr>
        <w:trPr>
          <w:trHeight w:hRule="exact" w:val="1724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17.1.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Incumbirá ao contratante divulgar o presente instrumento no Portal Nacional de Contratações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Públicas (PNCP), na forma prevista no art. 94 da Lei 14.133, de 2021, bem como no respectivo sítio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oficial na Internet, em atenção ao art. 91, caput, da Lei n.º 14.133, de 2021, art. 7º, XXII, do Decreto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nº 20.682 de 2023 e ao art. 8º, §2º, da Lei n. 12.527, de 2011, c/c art. 7º, §3º, inciso V, do Decreto n.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7.724, de 2012. </w:t>
            </w:r>
          </w:p>
        </w:tc>
      </w:tr>
      <w:tr>
        <w:trPr>
          <w:trHeight w:hRule="exact" w:val="5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6" w:after="0"/>
              <w:ind w:left="3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FFFFFF"/>
                <w:sz w:val="24"/>
              </w:rPr>
              <w:t>18.</w:t>
            </w:r>
          </w:p>
        </w:tc>
        <w:tc>
          <w:tcPr>
            <w:tcW w:type="dxa" w:w="9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6" w:after="0"/>
              <w:ind w:left="14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CLÁUSULA DÉCIMA OITAVA – FORO (art. 92, §1º)</w:t>
            </w:r>
          </w:p>
        </w:tc>
      </w:tr>
      <w:tr>
        <w:trPr>
          <w:trHeight w:hRule="exact" w:val="952"/>
        </w:trPr>
        <w:tc>
          <w:tcPr>
            <w:tcW w:type="dxa" w:w="9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32" w:right="1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18.1.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Fica eleito o Foro da Comarca de Lages/SC para dirimir os litígios que decorrerem da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execução deste Termo de Contrato que não puderem ser compostos pela conciliação, conforme art.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92, §1º, da Lei nº 14.133/21. </w:t>
            </w:r>
          </w:p>
        </w:tc>
      </w:tr>
    </w:tbl>
    <w:p>
      <w:pPr>
        <w:autoSpaceDN w:val="0"/>
        <w:tabs>
          <w:tab w:pos="3194" w:val="left"/>
          <w:tab w:pos="3254" w:val="left"/>
          <w:tab w:pos="3702" w:val="left"/>
          <w:tab w:pos="6304" w:val="left"/>
        </w:tabs>
        <w:autoSpaceDE w:val="0"/>
        <w:widowControl/>
        <w:spacing w:line="568" w:lineRule="exact" w:before="0" w:after="0"/>
        <w:ind w:left="738" w:right="0" w:firstLine="0"/>
        <w:jc w:val="left"/>
      </w:pPr>
      <w:r>
        <w:tab/>
      </w:r>
      <w:r>
        <w:tab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Lages, ... de ...................... de 2024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_________________________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Representante legal do CONTRATANTE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_________________________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Representante legal do CONTRATADO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TESTEMUNHAS: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1- </w:t>
      </w:r>
      <w:r>
        <w:br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2- </w:t>
      </w:r>
    </w:p>
    <w:p>
      <w:pPr>
        <w:autoSpaceDN w:val="0"/>
        <w:tabs>
          <w:tab w:pos="2242" w:val="left"/>
          <w:tab w:pos="2748" w:val="left"/>
        </w:tabs>
        <w:autoSpaceDE w:val="0"/>
        <w:widowControl/>
        <w:spacing w:line="232" w:lineRule="exact" w:before="5736" w:after="0"/>
        <w:ind w:left="1818" w:right="216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2"/>
        </w:rPr>
        <w:t xml:space="preserve">MUNICÍPIO DE LAGES | ESTADO DE SANTA CATARINA 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>Rua Benjamin</w:t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hyperlink r:id="rId12" w:history="1">
          <w:r>
            <w:rPr>
              <w:rStyle w:val="Hyperlink"/>
            </w:rPr>
            <w:t>Constant,13|Fone(0xx49)3019.7405|CEP88501.900|CNPJ-82.7</w:t>
          </w:r>
        </w:hyperlink>
      </w:r>
      <w:r>
        <w:rPr>
          <w:w w:val="103.09547185897827"/>
          <w:rFonts w:ascii="Times New Roman,Bold" w:hAnsi="Times New Roman,Bold" w:eastAsia="Times New Roman,Bold"/>
          <w:b/>
          <w:i w:val="0"/>
          <w:color w:val="000000"/>
          <w:sz w:val="16"/>
        </w:rPr>
        <w:t xml:space="preserve">77.301/0001-90 </w:t>
      </w:r>
      <w:r>
        <w:tab/>
      </w:r>
      <w:r>
        <w:tab/>
      </w:r>
      <w:r>
        <w:rPr>
          <w:rFonts w:ascii="Times New Roman,Bold" w:hAnsi="Times New Roman,Bold" w:eastAsia="Times New Roman,Bold"/>
          <w:b/>
          <w:i w:val="0"/>
          <w:color w:val="0000FF"/>
          <w:sz w:val="17"/>
          <w:u w:val="single"/>
        </w:rPr>
        <w:hyperlink r:id="rId12" w:history="1">
          <w:r>
            <w:rPr>
              <w:rStyle w:val="Hyperlink"/>
            </w:rPr>
            <w:t>www.lages.sc.gov.br|pregaoeletronico2@lages.sc.gov.br</w:t>
          </w:r>
        </w:hyperlink>
      </w:r>
    </w:p>
    <w:sectPr w:rsidR="00FC693F" w:rsidRPr="0006063C" w:rsidSect="00034616">
      <w:pgSz w:w="11906" w:h="16841"/>
      <w:pgMar w:top="128" w:right="1052" w:bottom="128" w:left="11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gov.br/compras" TargetMode="External"/><Relationship Id="rId12" Type="http://schemas.openxmlformats.org/officeDocument/2006/relationships/hyperlink" Target="http://www.lages.sc.gov.br|preg&#227;oeletronico2@lages.sc.gov.br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mailto:pregaoeletronico2@lages.sc.gov.br" TargetMode="External"/><Relationship Id="rId24" Type="http://schemas.openxmlformats.org/officeDocument/2006/relationships/hyperlink" Target="https://licitacoes.lages.sc.gov.br/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://www.planalto.gov.br/ccivil_03/_ato2019-2022/2021/lei/L14133.htm#art96" TargetMode="External"/><Relationship Id="rId27" Type="http://schemas.openxmlformats.org/officeDocument/2006/relationships/hyperlink" Target="https://www.planalto.gov.br/ccivil_03/leis/2002/l10406compilada.htm#art.827" TargetMode="External"/><Relationship Id="rId28" Type="http://schemas.openxmlformats.org/officeDocument/2006/relationships/hyperlink" Target="http://www.planalto.gov.br/ccivil_03/_ato2019-2022/2021/lei/L14133.htm#art137&#167;4" TargetMode="External"/><Relationship Id="rId29" Type="http://schemas.openxmlformats.org/officeDocument/2006/relationships/hyperlink" Target="https://www.in.gov.br/en/web/dou/-/circular-susep-n-662-de-11-de-abril-de-2022-392772088#art20" TargetMode="External"/><Relationship Id="rId30" Type="http://schemas.openxmlformats.org/officeDocument/2006/relationships/hyperlink" Target="https://www.planalto.gov.br/ccivil_03/_ato2015-2018/2018/lei/l13709.htm" TargetMode="External"/><Relationship Id="rId31" Type="http://schemas.openxmlformats.org/officeDocument/2006/relationships/hyperlink" Target="https://www.planalto.gov.br/ccivil_03/_ato2015-2018/2018/lei/l13709.htm#art6" TargetMode="External"/><Relationship Id="rId32" Type="http://schemas.openxmlformats.org/officeDocument/2006/relationships/hyperlink" Target="https://www.planalto.gov.br/ccivil_03/_ato2015-2018/2018/lei/l13709.htm#art15" TargetMode="External"/><Relationship Id="rId33" Type="http://schemas.openxmlformats.org/officeDocument/2006/relationships/hyperlink" Target="https://www.planalto.gov.br/ccivil_03/_ato2015-2018/2018/lei/l13709.htm#art16" TargetMode="External"/><Relationship Id="rId34" Type="http://schemas.openxmlformats.org/officeDocument/2006/relationships/hyperlink" Target="https://www.planalto.gov.br/ccivil_03/_ato2015-2018/2018/lei/l13709.htm#art26&#167;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