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hd w:val="clear" w:fill="1E3A5F"/>
        <w:spacing w:before="120" w:after="200"/>
        <w:ind w:left="360" w:right="360"/>
      </w:pPr>
      <w:r>
        <w:rPr>
          <w:rFonts w:ascii="Calibri" w:hAnsi="Calibri"/>
          <w:sz w:val="56"/>
          <w:b/>
          <w:color w:val="FFFFFF"/>
        </w:rPr>
        <w:t xml:space="preserve">Escalation Procedures</w:t>
      </w:r>
    </w:p>
    <w:p>
      <w:pPr>
        <w:shd w:val="clear" w:fill="1E3A5F"/>
        <w:spacing w:after="240"/>
        <w:ind w:left="360" w:right="360"/>
      </w:pPr>
      <w:r>
        <w:rPr>
          <w:rFonts w:ascii="Calibri" w:hAnsi="Calibri"/>
          <w:sz w:val="22"/>
          <w:color w:val="E2E8F0"/>
        </w:rPr>
        <w:t xml:space="preserve">PLC &amp; automation support — match training site policy</w:t>
      </w:r>
    </w:p>
    <w:p>
      <w:pPr>
        <w:pBdr>
          <w:bottom w:val="single" w:sz="24" w:space="1" w:color="E8A820"/>
        </w:pBdr>
        <w:spacing w:after="200"/>
      </w:pPr>
    </w:p>
    <w:p>
      <w:pPr>
        <w:pBdr>
          <w:bottom w:val="single" w:sz="18" w:space="2" w:color="E8A820"/>
        </w:pBdr>
        <w:spacing w:before="280" w:after="120"/>
      </w:pPr>
      <w:r>
        <w:rPr>
          <w:rFonts w:ascii="Calibri" w:hAnsi="Calibri"/>
          <w:sz w:val="36"/>
          <w:b/>
          <w:color w:val="1E3A5F"/>
        </w:rPr>
        <w:t xml:space="preserve">Level 1: Technician Resolves Independently</w:t>
      </w:r>
    </w:p>
    <w:p>
      <w:pPr>
        <w:spacing w:after="160"/>
      </w:pPr>
      <w:r>
        <w:rPr>
          <w:rFonts w:ascii="Calibri" w:hAnsi="Calibri"/>
          <w:sz w:val="20"/>
          <w:color w:val="64748B"/>
        </w:rPr>
        <w:t xml:space="preserve">Tier: success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• Sensor replacement (proximity, photoelectric, limit switch)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• Push button swap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• IP configuration and PLC connectivity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• HMI fault clear and alarm management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• Safety circuit reset (area scanner, light curtain, E-stop)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• Area scanner zone verification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• I/O signal trace via PLC software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• Fuse replacement (after identifying root cause of blown fuse)</w:t>
      </w:r>
    </w:p>
    <w:p>
      <w:pPr>
        <w:pBdr>
          <w:bottom w:val="single" w:sz="18" w:space="2" w:color="E8A820"/>
        </w:pBdr>
        <w:spacing w:before="280" w:after="120"/>
      </w:pPr>
      <w:r>
        <w:rPr>
          <w:rFonts w:ascii="Calibri" w:hAnsi="Calibri"/>
          <w:sz w:val="36"/>
          <w:b/>
          <w:color w:val="1E3A5F"/>
        </w:rPr>
        <w:t xml:space="preserve">Level 2: Escalate to Lead Technician / Noah Staudacher</w:t>
      </w:r>
    </w:p>
    <w:p>
      <w:pPr>
        <w:spacing w:after="160"/>
      </w:pPr>
      <w:r>
        <w:rPr>
          <w:rFonts w:ascii="Calibri" w:hAnsi="Calibri"/>
          <w:sz w:val="20"/>
          <w:color w:val="64748B"/>
        </w:rPr>
        <w:t xml:space="preserve">Tier: warning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• Ladder logic modification required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• Servo drive fault (E-series codes, STO errors)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• New I/O module addition or configuration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• Area scanner zone reprogramming on production equipment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• VFD parameter changes or fault diagnosis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• Any fault that persists after Level 1 troubleshooting</w:t>
      </w:r>
    </w:p>
    <w:p>
      <w:pPr>
        <w:pBdr>
          <w:bottom w:val="single" w:sz="18" w:space="2" w:color="E8A820"/>
        </w:pBdr>
        <w:spacing w:before="280" w:after="120"/>
      </w:pPr>
      <w:r>
        <w:rPr>
          <w:rFonts w:ascii="Calibri" w:hAnsi="Calibri"/>
          <w:sz w:val="36"/>
          <w:b/>
          <w:color w:val="1E3A5F"/>
        </w:rPr>
        <w:t xml:space="preserve">Level 3: Escalate to Automation Engineering</w:t>
      </w:r>
    </w:p>
    <w:p>
      <w:pPr>
        <w:spacing w:after="160"/>
      </w:pPr>
      <w:r>
        <w:rPr>
          <w:rFonts w:ascii="Calibri" w:hAnsi="Calibri"/>
          <w:sz w:val="20"/>
          <w:color w:val="64748B"/>
        </w:rPr>
        <w:t xml:space="preserve">Tier: danger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• PLC program structural changes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• EtherCAT/EtherNet/IP configuration changes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• New machine integration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• Firmware updates on any controller or drive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• Any unresolvable communication fault after Level 2 troubleshooting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• Safety system design changes</w:t>
      </w:r>
    </w:p>
    <w:p>
      <w:pPr>
        <w:pBdr>
          <w:bottom w:val="single" w:sz="18" w:space="2" w:color="E8A820"/>
        </w:pBdr>
        <w:spacing w:before="280" w:after="120"/>
      </w:pPr>
      <w:r>
        <w:rPr>
          <w:rFonts w:ascii="Calibri" w:hAnsi="Calibri"/>
          <w:sz w:val="36"/>
          <w:b/>
          <w:color w:val="1E3A5F"/>
        </w:rPr>
        <w:t xml:space="preserve">Document before escalating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• Machine name and asset number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• PLC platform and software version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• HMI alarm code and alarm text (take a photo)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• Tag name(s) involved, current vs. expected values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• Steps already taken and results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• Time of fault occurrence and production impact</w:t>
      </w:r>
    </w:p>
    <w:sectPr>
      <w:pgSz w:w="12240" w:h="15840"/>
      <w:pgMar w:top="1440" w:right="1440" w:bottom="1440" w:left="1440"/>
      <w:pgBorders>
        <w:top w:val="single" w:sz="48" w:space="0" w:color="E8A820"/>
      </w:pgBorders>
    </w:sectPr>
  </w:body>
</w:document>
</file>

<file path=word/settings.xml><?xml version="1.0" encoding="utf-8"?>
<w:settings xmlns:w="http://schemas.openxmlformats.org/wordprocessingml/2006/main"/>
</file>

<file path=word/_rels/document.xml.rels><?xml version="1.0"?><Relationships xmlns="http://schemas.openxmlformats.org/package/2006/relationships"/>
</file>