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法眼 AI：引用机制与反幻觉规范（V1.0）</w:t>
      </w:r>
    </w:p>
    <w:p>
      <w:r>
        <w:t>适用范围：法眼 AI 所有面向当事人的分析、报告与提示</w:t>
        <w:br/>
        <w:t>目标：</w:t>
        <w:br/>
        <w:t>1. 禁止 AI 编造法条、案例、规则</w:t>
        <w:br/>
        <w:t>2. 所有法律性表述必须具备可追溯依据</w:t>
        <w:br/>
        <w:t>3. 材料不足时，必须明确提示“依据不足”</w:t>
        <w:br/>
      </w:r>
    </w:p>
    <w:p>
      <w:pPr>
        <w:pStyle w:val="Heading2"/>
      </w:pPr>
      <w:r>
        <w:t>一、核心设计原则</w:t>
      </w:r>
    </w:p>
    <w:p>
      <w:r>
        <w:t>1. 闭域原则（Closed Domain）：</w:t>
        <w:br/>
        <w:t>AI 只能基于系统提供的数据进行分析，不得使用模型内置常识或外部知识。</w:t>
        <w:br/>
        <w:br/>
        <w:t>2. 引用强制原则（Citation Required）：</w:t>
        <w:br/>
        <w:t>任何法律性陈述必须绑定法条、案例或规则依据。</w:t>
        <w:br/>
        <w:br/>
        <w:t>3. 不确定性承认原则：</w:t>
        <w:br/>
        <w:t>当依据不足时，系统必须明确提示“依据现有材料，无法支持该判断”。</w:t>
      </w:r>
    </w:p>
    <w:p>
      <w:pPr>
        <w:pStyle w:val="Heading2"/>
      </w:pPr>
      <w:r>
        <w:t>二、系统架构约束</w:t>
      </w:r>
    </w:p>
    <w:p>
      <w:r>
        <w:t>用户输入 → AI理解与拆解 → RAG检索（法规/案例/规则库） → 规则引擎判断 → AI受限生成 → 引用校验器 → 用户输出</w:t>
      </w:r>
    </w:p>
    <w:p>
      <w:pPr>
        <w:pStyle w:val="Heading2"/>
      </w:pPr>
      <w:r>
        <w:t>三、合法数据源规范</w:t>
      </w:r>
    </w:p>
    <w:p>
      <w:r>
        <w:t>允许数据源：</w:t>
        <w:br/>
        <w:t>• 法律法规库（民法典、诉讼法、司法解释）</w:t>
        <w:br/>
        <w:t>• 指导性/典型案例库</w:t>
        <w:br/>
        <w:t>• 裁判文书数据库</w:t>
        <w:br/>
        <w:t>• 人工维护的规则库</w:t>
        <w:br/>
        <w:br/>
        <w:t>禁止数据源：</w:t>
        <w:br/>
        <w:t>• 模型内置知识</w:t>
        <w:br/>
        <w:t>• 外部互联网搜索结果</w:t>
        <w:br/>
        <w:t>• 未被检索到的用户材料</w:t>
      </w:r>
    </w:p>
    <w:p>
      <w:pPr>
        <w:pStyle w:val="Heading2"/>
      </w:pPr>
      <w:r>
        <w:t>四、引用数据结构规范</w:t>
      </w:r>
    </w:p>
    <w:p>
      <w:r>
        <w:t>1. 法条引用字段：法条编号、名称、条款摘要</w:t>
        <w:br/>
        <w:t>2. 案例引用字段：案例编号、法院、年份、裁判要点</w:t>
        <w:br/>
        <w:t>3. 规则引用字段：规则ID、规则描述</w:t>
        <w:br/>
      </w:r>
    </w:p>
    <w:p>
      <w:pPr>
        <w:pStyle w:val="Heading2"/>
      </w:pPr>
      <w:r>
        <w:t>五、AI 输出结构化规范</w:t>
      </w:r>
    </w:p>
    <w:p>
      <w:r>
        <w:t>AI 输出必须采用结构化格式（如 JSON），每一条结论必须绑定引用来源。</w:t>
        <w:br/>
        <w:t>无引用的结论不得输出。</w:t>
      </w:r>
    </w:p>
    <w:p>
      <w:pPr>
        <w:pStyle w:val="Heading2"/>
      </w:pPr>
      <w:r>
        <w:t>六、引用校验与反幻觉机制</w:t>
      </w:r>
    </w:p>
    <w:p>
      <w:r>
        <w:t>1. 校验所有法条与案例编号是否存在于数据库</w:t>
        <w:br/>
        <w:t>2. 不存在则拦截输出</w:t>
        <w:br/>
        <w:t>3. 拦截后统一替换为“依据不足”提示</w:t>
      </w:r>
    </w:p>
    <w:p>
      <w:pPr>
        <w:pStyle w:val="Heading2"/>
      </w:pPr>
      <w:r>
        <w:t>七、语言白名单与禁用表达</w:t>
      </w:r>
    </w:p>
    <w:p>
      <w:r>
        <w:t>允许：</w:t>
        <w:br/>
        <w:t>• 根据已检索资料显示……</w:t>
        <w:br/>
        <w:t>• 依据当前数据，存在……的可能性</w:t>
        <w:br/>
        <w:br/>
        <w:t>禁止：</w:t>
        <w:br/>
        <w:t>• 法院一定会……</w:t>
        <w:br/>
        <w:t>• 依法应当（无条文）</w:t>
        <w:br/>
        <w:t>• 通常司法实践认为（无来源）</w:t>
      </w:r>
    </w:p>
    <w:p>
      <w:pPr>
        <w:pStyle w:val="Heading2"/>
      </w:pPr>
      <w:r>
        <w:t>八、审计与版本管理</w:t>
      </w:r>
    </w:p>
    <w:p>
      <w:r>
        <w:t>所有输出需记录使用的法条、案例、规则及版本号，用于复核、投诉处理与合规自证。</w:t>
      </w:r>
    </w:p>
    <w:p>
      <w:pPr>
        <w:pStyle w:val="Heading2"/>
      </w:pPr>
      <w:r>
        <w:t>九、系统底线</w:t>
      </w:r>
    </w:p>
    <w:p>
      <w:r>
        <w:t>宁可不回答，也绝不编造；</w:t>
        <w:br/>
        <w:t>宁可提示“依据不足”，也不输出无引用结论。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