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法眼 AI：端到端流程图（用户→模型→校验→输出）</w:t>
      </w:r>
    </w:p>
    <w:p>
      <w:r>
        <w:t>用途：用于研发/架构对齐，明确每一步的输入输出与强制校验点。</w:t>
      </w:r>
    </w:p>
    <w:p>
      <w:pPr>
        <w:pStyle w:val="Heading2"/>
      </w:pPr>
      <w:r>
        <w:t>流程说明（简版）</w:t>
      </w:r>
    </w:p>
    <w:p>
      <w:r>
        <w:t>1) 用户端：提交案情描述与材料。</w:t>
        <w:br/>
        <w:t>2) 预处理层：材料解析/OCR、脱敏、要素抽取。</w:t>
        <w:br/>
        <w:t>3) 检索层（RAG）：仅从自有法规/案例/规则库检索，形成证据包。</w:t>
        <w:br/>
        <w:t>4) 规则引擎：判断复杂度/风险与输出级别（允许模块与深度）。</w:t>
        <w:br/>
        <w:t>5) 受限生成：模型仅基于证据包生成结构化JSON（结论+citations）。</w:t>
        <w:br/>
        <w:t>6) 校验层：引用存在性校验 + 禁用词/越界检测。</w:t>
        <w:br/>
        <w:t>7) 降级/拦截：无依据删除；全删则输出“依据不足”。</w:t>
        <w:br/>
        <w:t>8) 渲染输出：把JSON渲染为用户可读报告，并展示依据来源。</w:t>
        <w:br/>
        <w:t>9) 审计留痕：记录输入hash、检索ID/版本、模型版本与输出用于可追溯。</w:t>
      </w:r>
    </w:p>
    <w:p>
      <w:pPr>
        <w:pStyle w:val="Heading2"/>
      </w:pPr>
      <w:r>
        <w:t>流程图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法眼AI_端到端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