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法眼 AI UI 颜色设计规范（V1.0）</w:t>
      </w:r>
    </w:p>
    <w:p>
      <w:r>
        <w:t>本文件用于指导 UI/UX 设计师在法眼 AI 三端（当事人端 / 律师端 / 法官端）的颜色设计与使用规范。请严格按照以下 Token 与规则执行，不得自行新增主色或高饱和情绪色。</w:t>
      </w:r>
    </w:p>
    <w:p>
      <w:pPr>
        <w:pStyle w:val="Heading2"/>
      </w:pPr>
      <w:r>
        <w:t>一、总体设计原则</w:t>
      </w:r>
    </w:p>
    <w:p>
      <w:r>
        <w:t>1. 三端统一品牌主色，保持系统一致性。</w:t>
        <w:br/>
        <w:t>2. 通过饱和度、对比度、使用比例区分角色，而非更换颜色体系。</w:t>
        <w:br/>
        <w:t>3. 颜色只用于信息层级，不用于表达判断、胜负或倾向性。</w:t>
      </w:r>
    </w:p>
    <w:p>
      <w:pPr>
        <w:pStyle w:val="Heading2"/>
      </w:pPr>
      <w:r>
        <w:t>二、全局品牌色（所有端口通用）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--brand-primary</w:t>
            </w:r>
          </w:p>
        </w:tc>
        <w:tc>
          <w:tcPr>
            <w:tcW w:type="dxa" w:w="2880"/>
          </w:tcPr>
          <w:p>
            <w:r>
              <w:t>#1F2A44</w:t>
            </w:r>
          </w:p>
        </w:tc>
        <w:tc>
          <w:tcPr>
            <w:tcW w:type="dxa" w:w="2880"/>
          </w:tcPr>
          <w:p>
            <w:r>
              <w:t>主品牌色（法务蓝）</w:t>
            </w:r>
          </w:p>
        </w:tc>
      </w:tr>
      <w:tr>
        <w:tc>
          <w:tcPr>
            <w:tcW w:type="dxa" w:w="2880"/>
          </w:tcPr>
          <w:p>
            <w:r>
              <w:t>--brand-secondary</w:t>
            </w:r>
          </w:p>
        </w:tc>
        <w:tc>
          <w:tcPr>
            <w:tcW w:type="dxa" w:w="2880"/>
          </w:tcPr>
          <w:p>
            <w:r>
              <w:t>#2C4A7A</w:t>
            </w:r>
          </w:p>
        </w:tc>
        <w:tc>
          <w:tcPr>
            <w:tcW w:type="dxa" w:w="2880"/>
          </w:tcPr>
          <w:p>
            <w:r>
              <w:t>次级品牌色 / 高亮</w:t>
            </w:r>
          </w:p>
        </w:tc>
      </w:tr>
      <w:tr>
        <w:tc>
          <w:tcPr>
            <w:tcW w:type="dxa" w:w="2880"/>
          </w:tcPr>
          <w:p>
            <w:r>
              <w:t>--brand-bg</w:t>
            </w:r>
          </w:p>
        </w:tc>
        <w:tc>
          <w:tcPr>
            <w:tcW w:type="dxa" w:w="2880"/>
          </w:tcPr>
          <w:p>
            <w:r>
              <w:t>#F5F7FA</w:t>
            </w:r>
          </w:p>
        </w:tc>
        <w:tc>
          <w:tcPr>
            <w:tcW w:type="dxa" w:w="2880"/>
          </w:tcPr>
          <w:p>
            <w:r>
              <w:t>页面背景</w:t>
            </w:r>
          </w:p>
        </w:tc>
      </w:tr>
      <w:tr>
        <w:tc>
          <w:tcPr>
            <w:tcW w:type="dxa" w:w="2880"/>
          </w:tcPr>
          <w:p>
            <w:r>
              <w:t>--brand-border</w:t>
            </w:r>
          </w:p>
        </w:tc>
        <w:tc>
          <w:tcPr>
            <w:tcW w:type="dxa" w:w="2880"/>
          </w:tcPr>
          <w:p>
            <w:r>
              <w:t>#D8DEE8</w:t>
            </w:r>
          </w:p>
        </w:tc>
        <w:tc>
          <w:tcPr>
            <w:tcW w:type="dxa" w:w="2880"/>
          </w:tcPr>
          <w:p>
            <w:r>
              <w:t>分割线</w:t>
            </w:r>
          </w:p>
        </w:tc>
      </w:tr>
      <w:tr>
        <w:tc>
          <w:tcPr>
            <w:tcW w:type="dxa" w:w="2880"/>
          </w:tcPr>
          <w:p>
            <w:r>
              <w:t>--brand-text-main</w:t>
            </w:r>
          </w:p>
        </w:tc>
        <w:tc>
          <w:tcPr>
            <w:tcW w:type="dxa" w:w="2880"/>
          </w:tcPr>
          <w:p>
            <w:r>
              <w:t>#1A1A1A</w:t>
            </w:r>
          </w:p>
        </w:tc>
        <w:tc>
          <w:tcPr>
            <w:tcW w:type="dxa" w:w="2880"/>
          </w:tcPr>
          <w:p>
            <w:r>
              <w:t>主文字</w:t>
            </w:r>
          </w:p>
        </w:tc>
      </w:tr>
      <w:tr>
        <w:tc>
          <w:tcPr>
            <w:tcW w:type="dxa" w:w="2880"/>
          </w:tcPr>
          <w:p>
            <w:r>
              <w:t>--brand-text-sub</w:t>
            </w:r>
          </w:p>
        </w:tc>
        <w:tc>
          <w:tcPr>
            <w:tcW w:type="dxa" w:w="2880"/>
          </w:tcPr>
          <w:p>
            <w:r>
              <w:t>#6B7280</w:t>
            </w:r>
          </w:p>
        </w:tc>
        <w:tc>
          <w:tcPr>
            <w:tcW w:type="dxa" w:w="2880"/>
          </w:tcPr>
          <w:p>
            <w:r>
              <w:t>说明文字</w:t>
            </w:r>
          </w:p>
        </w:tc>
      </w:tr>
    </w:tbl>
    <w:p>
      <w:pPr>
        <w:pStyle w:val="Heading2"/>
      </w:pPr>
      <w:r>
        <w:t>三、当事人端（Client）</w:t>
      </w:r>
    </w:p>
    <w:p>
      <w:r>
        <w:t>设计目标：温和、低压、引导式体验。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--client-primary</w:t>
            </w:r>
          </w:p>
        </w:tc>
        <w:tc>
          <w:tcPr>
            <w:tcW w:type="dxa" w:w="2880"/>
          </w:tcPr>
          <w:p>
            <w:r>
              <w:t>#2C4A7A</w:t>
            </w:r>
          </w:p>
        </w:tc>
        <w:tc>
          <w:tcPr>
            <w:tcW w:type="dxa" w:w="2880"/>
          </w:tcPr>
          <w:p>
            <w:r>
              <w:t>主按钮</w:t>
            </w:r>
          </w:p>
        </w:tc>
      </w:tr>
      <w:tr>
        <w:tc>
          <w:tcPr>
            <w:tcW w:type="dxa" w:w="2880"/>
          </w:tcPr>
          <w:p>
            <w:r>
              <w:t>--client-primary-light</w:t>
            </w:r>
          </w:p>
        </w:tc>
        <w:tc>
          <w:tcPr>
            <w:tcW w:type="dxa" w:w="2880"/>
          </w:tcPr>
          <w:p>
            <w:r>
              <w:t>#E8F0FA</w:t>
            </w:r>
          </w:p>
        </w:tc>
        <w:tc>
          <w:tcPr>
            <w:tcW w:type="dxa" w:w="2880"/>
          </w:tcPr>
          <w:p>
            <w:r>
              <w:t>选中态背景</w:t>
            </w:r>
          </w:p>
        </w:tc>
      </w:tr>
      <w:tr>
        <w:tc>
          <w:tcPr>
            <w:tcW w:type="dxa" w:w="2880"/>
          </w:tcPr>
          <w:p>
            <w:r>
              <w:t>--client-warning</w:t>
            </w:r>
          </w:p>
        </w:tc>
        <w:tc>
          <w:tcPr>
            <w:tcW w:type="dxa" w:w="2880"/>
          </w:tcPr>
          <w:p>
            <w:r>
              <w:t>#E6A23C</w:t>
            </w:r>
          </w:p>
        </w:tc>
        <w:tc>
          <w:tcPr>
            <w:tcW w:type="dxa" w:w="2880"/>
          </w:tcPr>
          <w:p>
            <w:r>
              <w:t>风险提示（非红色）</w:t>
            </w:r>
          </w:p>
        </w:tc>
      </w:tr>
      <w:tr>
        <w:tc>
          <w:tcPr>
            <w:tcW w:type="dxa" w:w="2880"/>
          </w:tcPr>
          <w:p>
            <w:r>
              <w:t>--client-bg-card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卡片背景</w:t>
            </w:r>
          </w:p>
        </w:tc>
      </w:tr>
    </w:tbl>
    <w:p>
      <w:pPr>
        <w:pStyle w:val="Heading2"/>
      </w:pPr>
      <w:r>
        <w:t>四、律师端（Lawyer）</w:t>
      </w:r>
    </w:p>
    <w:p>
      <w:r>
        <w:t>设计目标：专业、高信息密度、工具化。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--lawyer-primary</w:t>
            </w:r>
          </w:p>
        </w:tc>
        <w:tc>
          <w:tcPr>
            <w:tcW w:type="dxa" w:w="2880"/>
          </w:tcPr>
          <w:p>
            <w:r>
              <w:t>#1F2A44</w:t>
            </w:r>
          </w:p>
        </w:tc>
        <w:tc>
          <w:tcPr>
            <w:tcW w:type="dxa" w:w="2880"/>
          </w:tcPr>
          <w:p>
            <w:r>
              <w:t>主导航 / 主操作</w:t>
            </w:r>
          </w:p>
        </w:tc>
      </w:tr>
      <w:tr>
        <w:tc>
          <w:tcPr>
            <w:tcW w:type="dxa" w:w="2880"/>
          </w:tcPr>
          <w:p>
            <w:r>
              <w:t>--lawyer-accent</w:t>
            </w:r>
          </w:p>
        </w:tc>
        <w:tc>
          <w:tcPr>
            <w:tcW w:type="dxa" w:w="2880"/>
          </w:tcPr>
          <w:p>
            <w:r>
              <w:t>#345D9D</w:t>
            </w:r>
          </w:p>
        </w:tc>
        <w:tc>
          <w:tcPr>
            <w:tcW w:type="dxa" w:w="2880"/>
          </w:tcPr>
          <w:p>
            <w:r>
              <w:t>操作高亮</w:t>
            </w:r>
          </w:p>
        </w:tc>
      </w:tr>
      <w:tr>
        <w:tc>
          <w:tcPr>
            <w:tcW w:type="dxa" w:w="2880"/>
          </w:tcPr>
          <w:p>
            <w:r>
              <w:t>--lawyer-border-strong</w:t>
            </w:r>
          </w:p>
        </w:tc>
        <w:tc>
          <w:tcPr>
            <w:tcW w:type="dxa" w:w="2880"/>
          </w:tcPr>
          <w:p>
            <w:r>
              <w:t>#C7CEDB</w:t>
            </w:r>
          </w:p>
        </w:tc>
        <w:tc>
          <w:tcPr>
            <w:tcW w:type="dxa" w:w="2880"/>
          </w:tcPr>
          <w:p>
            <w:r>
              <w:t>表格 / 分栏</w:t>
            </w:r>
          </w:p>
        </w:tc>
      </w:tr>
    </w:tbl>
    <w:p>
      <w:pPr>
        <w:pStyle w:val="Heading2"/>
      </w:pPr>
      <w:r>
        <w:t>五、法官端（Judge）【重点】</w:t>
      </w:r>
    </w:p>
    <w:p>
      <w:r>
        <w:t>设计目标：中性、克制、系统感。法官端禁止使用任何情绪化颜色。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--judge-primary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主标题</w:t>
            </w:r>
          </w:p>
        </w:tc>
      </w:tr>
      <w:tr>
        <w:tc>
          <w:tcPr>
            <w:tcW w:type="dxa" w:w="2880"/>
          </w:tcPr>
          <w:p>
            <w:r>
              <w:t>--judge-bg-page</w:t>
            </w:r>
          </w:p>
        </w:tc>
        <w:tc>
          <w:tcPr>
            <w:tcW w:type="dxa" w:w="2880"/>
          </w:tcPr>
          <w:p>
            <w:r>
              <w:t>#F1F3F6</w:t>
            </w:r>
          </w:p>
        </w:tc>
        <w:tc>
          <w:tcPr>
            <w:tcW w:type="dxa" w:w="2880"/>
          </w:tcPr>
          <w:p>
            <w:r>
              <w:t>页面背景</w:t>
            </w:r>
          </w:p>
        </w:tc>
      </w:tr>
      <w:tr>
        <w:tc>
          <w:tcPr>
            <w:tcW w:type="dxa" w:w="2880"/>
          </w:tcPr>
          <w:p>
            <w:r>
              <w:t>--judge-border</w:t>
            </w:r>
          </w:p>
        </w:tc>
        <w:tc>
          <w:tcPr>
            <w:tcW w:type="dxa" w:w="2880"/>
          </w:tcPr>
          <w:p>
            <w:r>
              <w:t>#D1D5DB</w:t>
            </w:r>
          </w:p>
        </w:tc>
        <w:tc>
          <w:tcPr>
            <w:tcW w:type="dxa" w:w="2880"/>
          </w:tcPr>
          <w:p>
            <w:r>
              <w:t>分割线</w:t>
            </w:r>
          </w:p>
        </w:tc>
      </w:tr>
    </w:tbl>
    <w:p>
      <w:pPr>
        <w:pStyle w:val="Heading2"/>
      </w:pPr>
      <w:r>
        <w:t>六、禁止性设计规则（必须遵守）</w:t>
      </w:r>
    </w:p>
    <w:p>
      <w:r>
        <w:t>1. 禁止使用红色表示法律结论。</w:t>
        <w:br/>
        <w:t>2. 禁止使用“成功 / 失败”颜色暗示结果。</w:t>
        <w:br/>
        <w:t>3. 禁止渐变、霓虹、高饱和装饰。</w:t>
        <w:br/>
        <w:t>4. 所有页面颜色必须来自本 Token 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