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6FCEF"/>
    <w:p w14:paraId="67AD354A"/>
    <w:p w14:paraId="68AF9DD0">
      <w:pPr>
        <w:jc w:val="center"/>
      </w:pPr>
      <w:r>
        <w:rPr>
          <w:b/>
          <w:color w:val="2C3E50"/>
          <w:sz w:val="44"/>
        </w:rPr>
        <w:t>CROHME 数学公式识别</w:t>
      </w:r>
      <w:r>
        <w:rPr>
          <w:b/>
          <w:color w:val="2C3E50"/>
          <w:sz w:val="44"/>
        </w:rPr>
        <w:br w:type="textWrapping"/>
      </w:r>
      <w:r>
        <w:rPr>
          <w:b/>
          <w:color w:val="2C3E50"/>
          <w:sz w:val="44"/>
        </w:rPr>
        <w:t>传统机器学习路径实验报告</w:t>
      </w:r>
    </w:p>
    <w:p w14:paraId="30A6EBC7"/>
    <w:p w14:paraId="13FED56A">
      <w:pPr>
        <w:jc w:val="center"/>
      </w:pPr>
      <w:r>
        <w:rPr>
          <w:sz w:val="24"/>
        </w:rPr>
        <w:t>日期：2026年5月19日</w:t>
      </w:r>
      <w:r>
        <w:rPr>
          <w:sz w:val="24"/>
        </w:rPr>
        <w:br w:type="textWrapping"/>
      </w:r>
      <w:r>
        <w:rPr>
          <w:sz w:val="24"/>
        </w:rPr>
        <w:t>环境：Python 3.12 / scikit-learn / OpenCV</w:t>
      </w:r>
      <w:r>
        <w:rPr>
          <w:sz w:val="24"/>
        </w:rPr>
        <w:br w:type="textWrapping"/>
      </w:r>
      <w:r>
        <w:rPr>
          <w:sz w:val="24"/>
        </w:rPr>
        <w:t>数据：CROHME 2011-2014 手写数学公式数据集</w:t>
      </w:r>
    </w:p>
    <w:p w14:paraId="3E82659C">
      <w:r>
        <w:br w:type="page"/>
      </w:r>
    </w:p>
    <w:p w14:paraId="748DFE0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一、项目背景与目标</w:t>
      </w:r>
    </w:p>
    <w:p w14:paraId="761F7F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本项目基于 CROHME 手写数学公式数据集，探索传统计算机视觉 + 机器学习方法在数学公式识别任务上的可行性，为后续深度学习方案建立性能基线。</w:t>
      </w:r>
    </w:p>
    <w:p w14:paraId="7128DF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技术路线：InkML 解析 → 笔画渲染 → 数据增强 → HOG+LBP 特征提取 → StandardScaler → PCA 降维 → SVM 分类</w:t>
      </w:r>
    </w:p>
    <w:p w14:paraId="64D21E4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二、实验过程中的问题与解决方案</w:t>
      </w:r>
    </w:p>
    <w:p w14:paraId="7030FC7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第一次运行：数据加载与标注格式问题</w:t>
      </w:r>
    </w:p>
    <w:p w14:paraId="25C568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最初尝试直接使用 CROHME_test_2011 目录的数据，发现 load_from_folder 返回 0 条样本。排查发现该目录下的 inkml 文件 annotation 标签中 type 字段为 "UI" 而非 "truth"，即测试集不包含 ground truth 标签。</w:t>
      </w:r>
    </w:p>
    <w:p w14:paraId="2BAD7F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解决方案：</w:t>
      </w:r>
      <w:r>
        <w:rPr>
          <w:rFonts w:hint="eastAsia" w:ascii="宋体" w:hAnsi="宋体" w:eastAsia="宋体" w:cs="宋体"/>
        </w:rPr>
        <w:t>改用全量 crohme_data 目录遍历，利用 os.walk 递归搜索所有含 truth 标签的 inkml 文件（2012/2013/2014 年训练数据），成功加载 22,021 条样本。</w:t>
      </w:r>
    </w:p>
    <w:p w14:paraId="393111C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第二次运行：549 类 GridSearchCV 时间爆炸</w:t>
      </w:r>
    </w:p>
    <w:p w14:paraId="54752F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首次全量运行传统模型时，将全部 549 个公式类别直接送入 GridSearchCV，参数网格包含 linear(4 种 C) + rbf(20 种 C×gamma) + poly(6 种) 共 30 种组合，配合 5-fold 交叉验证。SVM 使用 OVR 策略，每个拟合需训练 549 个二分类器。预估单特征配置需运行数小时，3 组特征配置完全无法在合理时间内完成。</w:t>
      </w:r>
    </w:p>
    <w:p w14:paraId="2FBC6E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解决方案：</w:t>
      </w:r>
      <w:r>
        <w:rPr>
          <w:rFonts w:hint="eastAsia" w:ascii="宋体" w:hAnsi="宋体" w:eastAsia="宋体" w:cs="宋体"/>
        </w:rPr>
        <w:t>（1）改用 Top-N 策略，仅保留样本数最多的公式类别（min_samples &gt;= 25 → 154 类，最终 Top-30 → 3,937 样本）；（2）将完整 GridSearchCV 替换为 RandomizedSearchCV(n_iter=8)，搜索量从 30 种组合降至 8 种随机采样；（3）3-fold 替代 5-fold，搜索量再降 40%。</w:t>
      </w:r>
    </w:p>
    <w:p w14:paraId="1336C52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第三次运行：HalvingGridSearchCV 实验导入失败</w:t>
      </w:r>
    </w:p>
    <w:p w14:paraId="06193E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尝试引入 HalvingGridSearchCV 利用 successive halving 策略加速：先用少量数据淘汰劣质参数，仅对优秀候选执行完整评估。但 sklearn 将 HalvingGridSearchCV 标记为 experimental API，直接导入触发 ImportError。</w:t>
      </w:r>
    </w:p>
    <w:p w14:paraId="35174C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解决方案：</w:t>
      </w:r>
      <w:r>
        <w:rPr>
          <w:rFonts w:hint="eastAsia" w:ascii="宋体" w:hAnsi="宋体" w:eastAsia="宋体" w:cs="宋体"/>
        </w:rPr>
        <w:t>添加 from sklearn.experimental import enable_halving_search_cv 前置导入语句。但后续实测发现 Windows 环境下 n_jobs=-1 多进程开销极大，反而比串行更慢，最终弃用 HalvingGridSearchCV，回归 RandomizedSearchCV。</w:t>
      </w:r>
    </w:p>
    <w:p w14:paraId="32CB8E6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 第四次运行：n_jobs=-1 导致进程崩溃</w:t>
      </w:r>
    </w:p>
    <w:p w14:paraId="0DC7F5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 n_jobs=-1 利用全部 CPU 核心并行训练后，监控发现同时产生 18+ 个 Python 子进程。任务被手动停止后，linlinear 子进程未被正确清理，成为僵尸进程继续占用内存。后续多次启动/停止累积了大量僵尸进程，导致某次运行时系统内存耗尽，进程被 Windows 强制 kill（无 Python traceback）。</w:t>
      </w:r>
    </w:p>
    <w:p w14:paraId="6AF50C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解决方案：</w:t>
      </w:r>
      <w:r>
        <w:rPr>
          <w:rFonts w:hint="eastAsia" w:ascii="宋体" w:hAnsi="宋体" w:eastAsia="宋体" w:cs="宋体"/>
        </w:rPr>
        <w:t>（1）将 n_jobs 从 -1 改为 1，强制串行执行避免多进程开销；（2）每次停止任务后执行 Get-Process python* | Stop-Process -Force 彻底清理；（3）添加 warnings.filterwarnings("ignore") 抑制 liblinear 收敛警告减少日志噪音。</w:t>
      </w:r>
    </w:p>
    <w:p w14:paraId="62A5B23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2.5 第五次运行：配置 2 崩溃分析</w:t>
      </w:r>
    </w:p>
    <w:p w14:paraId="471C4C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实验设计了 3 组特征配置对比：配置 1 (HOG 9方向, ppc=8)、配置 2 (HOG 9方向, ppc=4 + LBP 16, R=2)、配置 3 (HOG 18方向, ppc=8 + LBP 默认模式)。配置 1 在 34 分钟内完成（910维 → PCA 303维），但配置 2（4,374维 → PCA 1,071维）的 LinearSVC 训练 86+ 分钟后进程消失。</w:t>
      </w:r>
    </w:p>
    <w:p w14:paraId="2278DA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根因分析：</w:t>
      </w:r>
    </w:p>
    <w:p w14:paraId="52B3F9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 2 的 PCA 后维度 1,071（是配置 1 的 3.5 倍），每个 OVR 二分类器训练时间与特征维度成正比。8轮 × 3折 × 30类 = 720 个二分类器，单次约 200s，预计总耗时 80+ 分钟。在长时间高内存占用下，残留僵尸进程导致系统 OOM，进程被强制终止。</w:t>
      </w:r>
    </w:p>
    <w:p w14:paraId="5B94D3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解决方案：</w:t>
      </w:r>
      <w:r>
        <w:rPr>
          <w:rFonts w:hint="eastAsia" w:ascii="宋体" w:hAnsi="宋体" w:eastAsia="宋体" w:cs="宋体"/>
        </w:rPr>
        <w:t>（1）移除 ppc=4 的细粒度 HOG 配置（性价比极低）；（2）移除 default LBP 模式（256 bins 稀疏直方图对 48×48 小图无效）；（3）仅保留 HOG(9,8,2)+LBP(8,1,uniform) 单配置——该配置是文献中最标准、最稳定的参数组合。</w:t>
      </w:r>
    </w:p>
    <w:p w14:paraId="5CBA294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2.6 IMG_SIZE 优化：64 → 48</w:t>
      </w:r>
    </w:p>
    <w:p w14:paraId="38EBAF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最初使用 64×64 图片（HOG 1,764维 → PCA 541维）。为加速训练，将图片缩小至 48×48，HOG 降至 900维，PCA 仅需 303 维即可保留 95% 方差。特征维度减半，训练时间约减少 40%，而准确率无明显下降。</w:t>
      </w:r>
    </w:p>
    <w:p w14:paraId="6A9F1B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尺寸对比：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DBBF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31F38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IMG_SIZE</w:t>
            </w:r>
          </w:p>
        </w:tc>
        <w:tc>
          <w:tcPr>
            <w:tcW w:w="1440" w:type="dxa"/>
          </w:tcPr>
          <w:p w14:paraId="0042C2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HOG维</w:t>
            </w:r>
          </w:p>
        </w:tc>
        <w:tc>
          <w:tcPr>
            <w:tcW w:w="1440" w:type="dxa"/>
          </w:tcPr>
          <w:p w14:paraId="4F2EE0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LBP维</w:t>
            </w:r>
          </w:p>
        </w:tc>
        <w:tc>
          <w:tcPr>
            <w:tcW w:w="1440" w:type="dxa"/>
          </w:tcPr>
          <w:p w14:paraId="163405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总维</w:t>
            </w:r>
          </w:p>
        </w:tc>
        <w:tc>
          <w:tcPr>
            <w:tcW w:w="1440" w:type="dxa"/>
          </w:tcPr>
          <w:p w14:paraId="76515E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PCA后</w:t>
            </w:r>
          </w:p>
        </w:tc>
        <w:tc>
          <w:tcPr>
            <w:tcW w:w="1440" w:type="dxa"/>
          </w:tcPr>
          <w:p w14:paraId="62D0537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预计耗时</w:t>
            </w:r>
          </w:p>
        </w:tc>
      </w:tr>
      <w:tr w14:paraId="7DE86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FD8F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64×64</w:t>
            </w:r>
          </w:p>
        </w:tc>
        <w:tc>
          <w:tcPr>
            <w:tcW w:w="1440" w:type="dxa"/>
          </w:tcPr>
          <w:p w14:paraId="2AFFC6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1,764</w:t>
            </w:r>
          </w:p>
        </w:tc>
        <w:tc>
          <w:tcPr>
            <w:tcW w:w="1440" w:type="dxa"/>
          </w:tcPr>
          <w:p w14:paraId="4C34CE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1440" w:type="dxa"/>
          </w:tcPr>
          <w:p w14:paraId="0032D0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1,774</w:t>
            </w:r>
          </w:p>
        </w:tc>
        <w:tc>
          <w:tcPr>
            <w:tcW w:w="1440" w:type="dxa"/>
          </w:tcPr>
          <w:p w14:paraId="2491E3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541</w:t>
            </w:r>
          </w:p>
        </w:tc>
        <w:tc>
          <w:tcPr>
            <w:tcW w:w="1440" w:type="dxa"/>
          </w:tcPr>
          <w:p w14:paraId="2BB895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~60min</w:t>
            </w:r>
          </w:p>
        </w:tc>
      </w:tr>
      <w:tr w14:paraId="2DC98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51E62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48×48</w:t>
            </w:r>
          </w:p>
        </w:tc>
        <w:tc>
          <w:tcPr>
            <w:tcW w:w="1440" w:type="dxa"/>
          </w:tcPr>
          <w:p w14:paraId="6635F1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900</w:t>
            </w:r>
          </w:p>
        </w:tc>
        <w:tc>
          <w:tcPr>
            <w:tcW w:w="1440" w:type="dxa"/>
          </w:tcPr>
          <w:p w14:paraId="1A7676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1440" w:type="dxa"/>
          </w:tcPr>
          <w:p w14:paraId="4A9AD0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910</w:t>
            </w:r>
          </w:p>
        </w:tc>
        <w:tc>
          <w:tcPr>
            <w:tcW w:w="1440" w:type="dxa"/>
          </w:tcPr>
          <w:p w14:paraId="00C952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303</w:t>
            </w:r>
          </w:p>
        </w:tc>
        <w:tc>
          <w:tcPr>
            <w:tcW w:w="1440" w:type="dxa"/>
          </w:tcPr>
          <w:p w14:paraId="179184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~34min</w:t>
            </w:r>
          </w:p>
        </w:tc>
      </w:tr>
      <w:tr w14:paraId="44545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B6A9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缩减</w:t>
            </w:r>
          </w:p>
        </w:tc>
        <w:tc>
          <w:tcPr>
            <w:tcW w:w="1440" w:type="dxa"/>
          </w:tcPr>
          <w:p w14:paraId="28ADBC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-49%</w:t>
            </w:r>
          </w:p>
        </w:tc>
        <w:tc>
          <w:tcPr>
            <w:tcW w:w="1440" w:type="dxa"/>
          </w:tcPr>
          <w:p w14:paraId="164522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</w:t>
            </w:r>
          </w:p>
        </w:tc>
        <w:tc>
          <w:tcPr>
            <w:tcW w:w="1440" w:type="dxa"/>
          </w:tcPr>
          <w:p w14:paraId="4977BE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-49%</w:t>
            </w:r>
          </w:p>
        </w:tc>
        <w:tc>
          <w:tcPr>
            <w:tcW w:w="1440" w:type="dxa"/>
          </w:tcPr>
          <w:p w14:paraId="2214F8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-44%</w:t>
            </w:r>
          </w:p>
        </w:tc>
        <w:tc>
          <w:tcPr>
            <w:tcW w:w="1440" w:type="dxa"/>
          </w:tcPr>
          <w:p w14:paraId="7E5BD50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-43%</w:t>
            </w:r>
          </w:p>
        </w:tc>
      </w:tr>
    </w:tbl>
    <w:p w14:paraId="68602D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2.7 代码架构演变</w:t>
      </w:r>
    </w:p>
    <w:p w14:paraId="220392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preprocess.py v1.0：</w:t>
      </w:r>
      <w:r>
        <w:rPr>
          <w:rFonts w:hint="eastAsia" w:ascii="宋体" w:hAnsi="宋体" w:eastAsia="宋体" w:cs="宋体"/>
        </w:rPr>
        <w:t>基础 InkML 解析 + 简单渲染，无增强，无过滤</w:t>
      </w:r>
    </w:p>
    <w:p w14:paraId="3ECDE0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preprocess.py v2.0：</w:t>
      </w:r>
      <w:r>
        <w:rPr>
          <w:rFonts w:hint="eastAsia" w:ascii="宋体" w:hAnsi="宋体" w:eastAsia="宋体" w:cs="宋体"/>
        </w:rPr>
        <w:t>增加自适应居中渲染、数据增强 pipeline、类别过滤、分布统计</w:t>
      </w:r>
    </w:p>
    <w:p w14:paraId="419E9E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traditional_model.py v1.0：</w:t>
      </w:r>
      <w:r>
        <w:rPr>
          <w:rFonts w:hint="eastAsia" w:ascii="宋体" w:hAnsi="宋体" w:eastAsia="宋体" w:cs="宋体"/>
        </w:rPr>
        <w:t>HOG+LBP+PCA+SVM 基础版，固定参数 C=10，无标准化</w:t>
      </w:r>
    </w:p>
    <w:p w14:paraId="247B84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traditional_model.py v1.1：</w:t>
      </w:r>
      <w:r>
        <w:rPr>
          <w:rFonts w:hint="eastAsia" w:ascii="宋体" w:hAnsi="宋体" w:eastAsia="宋体" w:cs="宋体"/>
        </w:rPr>
        <w:t>+ StandardScaler 标准化、GridSearchCV 调参、多核对比</w:t>
      </w:r>
    </w:p>
    <w:p w14:paraId="66F894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traditional_model.py v2.0：</w:t>
      </w:r>
      <w:r>
        <w:rPr>
          <w:rFonts w:hint="eastAsia" w:ascii="宋体" w:hAnsi="宋体" w:eastAsia="宋体" w:cs="宋体"/>
        </w:rPr>
        <w:t>+ 实验记录 JSON、分类报告、混淆矩阵、误分类分析</w:t>
      </w:r>
    </w:p>
    <w:p w14:paraId="15DEF2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traditional_model.py v2.1：</w:t>
      </w:r>
      <w:r>
        <w:rPr>
          <w:rFonts w:hint="eastAsia" w:ascii="宋体" w:hAnsi="宋体" w:eastAsia="宋体" w:cs="宋体"/>
        </w:rPr>
        <w:t>+ 12 张全流程可视化（样本图库→增强对比→HOG/LBP→PCA→混淆→仪表盘）</w:t>
      </w:r>
    </w:p>
    <w:p w14:paraId="57EE00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traditional_model.py v2.2：</w:t>
      </w:r>
      <w:r>
        <w:rPr>
          <w:rFonts w:hint="eastAsia" w:ascii="宋体" w:hAnsi="宋体" w:eastAsia="宋体" w:cs="宋体"/>
        </w:rPr>
        <w:t>GridSearchCV → RandomizedSearchCV、n_jobs=-1 → 1、IMG_SIZE 64 → 48</w:t>
      </w:r>
    </w:p>
    <w:p w14:paraId="525AA6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最终版本：</w:t>
      </w:r>
      <w:r>
        <w:rPr>
          <w:rFonts w:hint="eastAsia" w:ascii="宋体" w:hAnsi="宋体" w:eastAsia="宋体" w:cs="宋体"/>
        </w:rPr>
        <w:t>配置 1 单跑 + Top-30 类 + 48×48 + RandomizedSearchCV + 全可视化 + JSON 报告</w:t>
      </w:r>
    </w:p>
    <w:p w14:paraId="2D5785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99E013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三、技术方案详述</w:t>
      </w:r>
    </w:p>
    <w:p w14:paraId="3CD0FE2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数据预处理</w:t>
      </w:r>
    </w:p>
    <w:p w14:paraId="7EC027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数据来源：CROHME 2011-2014 年含 truth 标注的训练数据，通过 os.walk 递归扫描全部 inkml 文件。</w:t>
      </w:r>
    </w:p>
    <w:p w14:paraId="25AB07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标签过滤：取 Counter(y).most_common(30)，仅保留样本数最多的 30 个公式类（每类 124-135 个样本）。</w:t>
      </w:r>
    </w:p>
    <w:p w14:paraId="12E513E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图像渲染</w:t>
      </w:r>
    </w:p>
    <w:p w14:paraId="616D2D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render_strokes() 将笔画轨迹渲染为 48×48 灰度图：</w:t>
      </w:r>
    </w:p>
    <w:p w14:paraId="67CCBF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以笔画质心为基准自适应缩放，保持宽高比</w:t>
      </w:r>
    </w:p>
    <w:p w14:paraId="571C41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抗锯齿线条 (cv2.LINE_AA)，线宽 2px</w:t>
      </w:r>
    </w:p>
    <w:p w14:paraId="7CFD7D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空白边缘 10px padding，防止笔画贴边</w:t>
      </w:r>
    </w:p>
    <w:p w14:paraId="6D37213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数据增强</w:t>
      </w:r>
    </w:p>
    <w:p w14:paraId="3BBCAE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augment_dataset() 对每类样本做 on-the-fly 增强，确保各类均衡：</w:t>
      </w:r>
    </w:p>
    <w:p w14:paraId="17CE9C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旋转 ±10°、缩放 ±15%、平移 ±2px</w:t>
      </w:r>
    </w:p>
    <w:p w14:paraId="6DA7C8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弹性形变（50% 概率），模拟不同书写风格</w:t>
      </w:r>
    </w:p>
    <w:p w14:paraId="4E30CD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目标：每类 ≥60 样本，factor=2x 扩展</w:t>
      </w:r>
    </w:p>
    <w:p w14:paraId="402D054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特征工程</w:t>
      </w:r>
    </w:p>
    <w:p w14:paraId="59134C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HOG (Histogram of Oriented Gradients)：</w:t>
      </w:r>
      <w:r>
        <w:rPr>
          <w:rFonts w:hint="eastAsia" w:ascii="宋体" w:hAnsi="宋体" w:eastAsia="宋体" w:cs="宋体"/>
        </w:rPr>
        <w:t>orientations=9, pixels_per_cell=(8,8), cells_per_block=(2,2) → 900维。用于捕捉笔画边缘方向与轮廓信息。</w:t>
      </w:r>
    </w:p>
    <w:p w14:paraId="7480BD75">
      <w:pPr>
        <w:rPr>
          <w:rFonts w:hint="eastAsia" w:ascii="宋体" w:hAnsi="宋体" w:eastAsia="宋体" w:cs="宋体"/>
        </w:rPr>
      </w:pPr>
    </w:p>
    <w:p w14:paraId="44C716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LBP (Local Binary Pattern)：</w:t>
      </w:r>
      <w:r>
        <w:rPr>
          <w:rFonts w:hint="eastAsia" w:ascii="宋体" w:hAnsi="宋体" w:eastAsia="宋体" w:cs="宋体"/>
        </w:rPr>
        <w:t>P=8, R=1, method="uniform" → 10 bins 直方图。用于捕捉局部纹理模式（笔画交叉点、拐角）。</w:t>
      </w:r>
    </w:p>
    <w:p w14:paraId="0CCBA9B9">
      <w:pPr>
        <w:rPr>
          <w:rFonts w:hint="eastAsia" w:ascii="宋体" w:hAnsi="宋体" w:eastAsia="宋体" w:cs="宋体"/>
        </w:rPr>
      </w:pPr>
    </w:p>
    <w:p w14:paraId="5A05B1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特征标准化：</w:t>
      </w:r>
      <w:r>
        <w:rPr>
          <w:rFonts w:hint="eastAsia" w:ascii="宋体" w:hAnsi="宋体" w:eastAsia="宋体" w:cs="宋体"/>
        </w:rPr>
        <w:t>StandardScaler 将 HOG+LBP 拼接特征标准化为均值0、方差1，确保 PCA 不被量纲差异主导。</w:t>
      </w:r>
    </w:p>
    <w:p w14:paraId="31502D5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3.5 PCA 降维</w:t>
      </w:r>
    </w:p>
    <w:p w14:paraId="23F59B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PCA(n_components=0.95) 保留 95% 累积方差，910维 → 303维，压缩率 67%。仅在训练集上拟合 PCA，测试集使用相同变换矩阵。</w:t>
      </w:r>
    </w:p>
    <w:p w14:paraId="66658BE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3.6 SVM 训练与调参</w:t>
      </w:r>
    </w:p>
    <w:p w14:paraId="2676CF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 RandomizedSearchCV 对 LinearSVC 和 SVC(RBF) 分别搜索最优参数：</w:t>
      </w:r>
    </w:p>
    <w:p w14:paraId="79FD32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LinearSVC：C ∈ [10⁻³, 10³]，对数均匀采样 8 轮 → 最优 C = 0.039</w:t>
      </w:r>
    </w:p>
    <w:p w14:paraId="43690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RBF：C ∈ [10⁻², 10³]，γ ∈ [10⁻³, 10¹]，采样 8 轮 → 最优 C=0.356, γ=0.001</w:t>
      </w:r>
    </w:p>
    <w:p w14:paraId="0D684B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交叉验证：3-fold StratifiedKFold</w:t>
      </w:r>
    </w:p>
    <w:p w14:paraId="494B29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最终模型：LinearSVC(C=0.039, class_weight="balanced")</w:t>
      </w:r>
    </w:p>
    <w:p w14:paraId="3081528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四、实验结果</w:t>
      </w:r>
    </w:p>
    <w:p w14:paraId="09C7836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最终实验结果（Top-30 类）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A7F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2E92D9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指标</w:t>
            </w:r>
          </w:p>
        </w:tc>
        <w:tc>
          <w:tcPr>
            <w:tcW w:w="4320" w:type="dxa"/>
          </w:tcPr>
          <w:p w14:paraId="6A842B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数值</w:t>
            </w:r>
          </w:p>
        </w:tc>
      </w:tr>
      <w:tr w14:paraId="1C958F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F489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数据集</w:t>
            </w:r>
          </w:p>
        </w:tc>
        <w:tc>
          <w:tcPr>
            <w:tcW w:w="4320" w:type="dxa"/>
          </w:tcPr>
          <w:p w14:paraId="52FBCA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CROHME Top-30，7,874样本</w:t>
            </w:r>
          </w:p>
        </w:tc>
      </w:tr>
      <w:tr w14:paraId="62DBC6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058C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训练/测试</w:t>
            </w:r>
          </w:p>
        </w:tc>
        <w:tc>
          <w:tcPr>
            <w:tcW w:w="4320" w:type="dxa"/>
          </w:tcPr>
          <w:p w14:paraId="11ED95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5,511 / 2,363 (70/30)</w:t>
            </w:r>
          </w:p>
        </w:tc>
      </w:tr>
      <w:tr w14:paraId="1E5088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0CD4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特征</w:t>
            </w:r>
          </w:p>
        </w:tc>
        <w:tc>
          <w:tcPr>
            <w:tcW w:w="4320" w:type="dxa"/>
          </w:tcPr>
          <w:p w14:paraId="5DA7CC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HOG(9,8,2)+LBP(8,1,uniform)</w:t>
            </w:r>
          </w:p>
        </w:tc>
      </w:tr>
      <w:tr w14:paraId="78D974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07AE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特征维度</w:t>
            </w:r>
          </w:p>
        </w:tc>
        <w:tc>
          <w:tcPr>
            <w:tcW w:w="4320" w:type="dxa"/>
          </w:tcPr>
          <w:p w14:paraId="202710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910 → PCA 303（95%方差）</w:t>
            </w:r>
          </w:p>
        </w:tc>
      </w:tr>
      <w:tr w14:paraId="276DDB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8C229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最优模型</w:t>
            </w:r>
          </w:p>
        </w:tc>
        <w:tc>
          <w:tcPr>
            <w:tcW w:w="4320" w:type="dxa"/>
          </w:tcPr>
          <w:p w14:paraId="4486C3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LinearSVC, C=0.039</w:t>
            </w:r>
          </w:p>
        </w:tc>
      </w:tr>
      <w:tr w14:paraId="55B17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0B923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CV Accuracy</w:t>
            </w:r>
          </w:p>
        </w:tc>
        <w:tc>
          <w:tcPr>
            <w:tcW w:w="4320" w:type="dxa"/>
          </w:tcPr>
          <w:p w14:paraId="72D902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66.99% ± 0.18%</w:t>
            </w:r>
          </w:p>
        </w:tc>
      </w:tr>
      <w:tr w14:paraId="3B77AD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B6DD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Test Accuracy</w:t>
            </w:r>
          </w:p>
        </w:tc>
        <w:tc>
          <w:tcPr>
            <w:tcW w:w="4320" w:type="dxa"/>
          </w:tcPr>
          <w:p w14:paraId="433144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68.73%</w:t>
            </w:r>
          </w:p>
        </w:tc>
      </w:tr>
    </w:tbl>
    <w:p w14:paraId="2C245E8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核函数对比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D2EB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DAB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核函数</w:t>
            </w:r>
          </w:p>
        </w:tc>
        <w:tc>
          <w:tcPr>
            <w:tcW w:w="2160" w:type="dxa"/>
          </w:tcPr>
          <w:p w14:paraId="06E3FA3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最优参数</w:t>
            </w:r>
          </w:p>
        </w:tc>
        <w:tc>
          <w:tcPr>
            <w:tcW w:w="2160" w:type="dxa"/>
          </w:tcPr>
          <w:p w14:paraId="65ABEC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CV Accuracy</w:t>
            </w:r>
          </w:p>
        </w:tc>
        <w:tc>
          <w:tcPr>
            <w:tcW w:w="2160" w:type="dxa"/>
          </w:tcPr>
          <w:p w14:paraId="183774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训练耗时</w:t>
            </w:r>
          </w:p>
        </w:tc>
      </w:tr>
      <w:tr w14:paraId="112EFB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4C4F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LinearSVC</w:t>
            </w:r>
          </w:p>
        </w:tc>
        <w:tc>
          <w:tcPr>
            <w:tcW w:w="2160" w:type="dxa"/>
          </w:tcPr>
          <w:p w14:paraId="228D66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C=0.039</w:t>
            </w:r>
          </w:p>
        </w:tc>
        <w:tc>
          <w:tcPr>
            <w:tcW w:w="2160" w:type="dxa"/>
          </w:tcPr>
          <w:p w14:paraId="3ECA44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66.99%</w:t>
            </w:r>
          </w:p>
        </w:tc>
        <w:tc>
          <w:tcPr>
            <w:tcW w:w="2160" w:type="dxa"/>
          </w:tcPr>
          <w:p w14:paraId="76F880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1,973s (32.9min)</w:t>
            </w:r>
          </w:p>
        </w:tc>
      </w:tr>
      <w:tr w14:paraId="370AF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212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RBF</w:t>
            </w:r>
          </w:p>
        </w:tc>
        <w:tc>
          <w:tcPr>
            <w:tcW w:w="2160" w:type="dxa"/>
          </w:tcPr>
          <w:p w14:paraId="0A5F0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C=0.356, γ=0.001</w:t>
            </w:r>
          </w:p>
        </w:tc>
        <w:tc>
          <w:tcPr>
            <w:tcW w:w="2160" w:type="dxa"/>
          </w:tcPr>
          <w:p w14:paraId="6B7CF4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66.67%</w:t>
            </w:r>
          </w:p>
        </w:tc>
        <w:tc>
          <w:tcPr>
            <w:tcW w:w="2160" w:type="dxa"/>
          </w:tcPr>
          <w:p w14:paraId="4D2644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56s</w:t>
            </w:r>
          </w:p>
        </w:tc>
      </w:tr>
    </w:tbl>
    <w:p w14:paraId="1030442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不同规模实验结果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1543"/>
        <w:gridCol w:w="1590"/>
        <w:gridCol w:w="1606"/>
        <w:gridCol w:w="1591"/>
      </w:tblGrid>
      <w:tr w14:paraId="5A221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449E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实验</w:t>
            </w:r>
          </w:p>
        </w:tc>
        <w:tc>
          <w:tcPr>
            <w:tcW w:w="1728" w:type="dxa"/>
          </w:tcPr>
          <w:p w14:paraId="54499A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类别数</w:t>
            </w:r>
          </w:p>
        </w:tc>
        <w:tc>
          <w:tcPr>
            <w:tcW w:w="1728" w:type="dxa"/>
          </w:tcPr>
          <w:p w14:paraId="7C01A6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样本数</w:t>
            </w:r>
          </w:p>
        </w:tc>
        <w:tc>
          <w:tcPr>
            <w:tcW w:w="1728" w:type="dxa"/>
          </w:tcPr>
          <w:p w14:paraId="36CB05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Test Acc</w:t>
            </w:r>
          </w:p>
        </w:tc>
        <w:tc>
          <w:tcPr>
            <w:tcW w:w="1728" w:type="dxa"/>
          </w:tcPr>
          <w:p w14:paraId="058447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随机基线</w:t>
            </w:r>
          </w:p>
        </w:tc>
      </w:tr>
      <w:tr w14:paraId="339A1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EB37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quick_test</w:t>
            </w:r>
          </w:p>
        </w:tc>
        <w:tc>
          <w:tcPr>
            <w:tcW w:w="1728" w:type="dxa"/>
          </w:tcPr>
          <w:p w14:paraId="285580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1728" w:type="dxa"/>
          </w:tcPr>
          <w:p w14:paraId="5F46E5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2,700</w:t>
            </w:r>
          </w:p>
        </w:tc>
        <w:tc>
          <w:tcPr>
            <w:tcW w:w="1728" w:type="dxa"/>
          </w:tcPr>
          <w:p w14:paraId="3AA63D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77.78%</w:t>
            </w:r>
          </w:p>
        </w:tc>
        <w:tc>
          <w:tcPr>
            <w:tcW w:w="1728" w:type="dxa"/>
          </w:tcPr>
          <w:p w14:paraId="396CC1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10.0%</w:t>
            </w:r>
          </w:p>
        </w:tc>
      </w:tr>
      <w:tr w14:paraId="0DC73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74D2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visualize_predictions</w:t>
            </w:r>
          </w:p>
        </w:tc>
        <w:tc>
          <w:tcPr>
            <w:tcW w:w="1728" w:type="dxa"/>
          </w:tcPr>
          <w:p w14:paraId="5E716A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1728" w:type="dxa"/>
          </w:tcPr>
          <w:p w14:paraId="318FF8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4,050</w:t>
            </w:r>
          </w:p>
        </w:tc>
        <w:tc>
          <w:tcPr>
            <w:tcW w:w="1728" w:type="dxa"/>
          </w:tcPr>
          <w:p w14:paraId="5BD3D6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72.92%</w:t>
            </w:r>
          </w:p>
        </w:tc>
        <w:tc>
          <w:tcPr>
            <w:tcW w:w="1728" w:type="dxa"/>
          </w:tcPr>
          <w:p w14:paraId="61A050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6.7%</w:t>
            </w:r>
          </w:p>
        </w:tc>
      </w:tr>
      <w:tr w14:paraId="48D4A2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AFBE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traditional_model</w:t>
            </w:r>
          </w:p>
        </w:tc>
        <w:tc>
          <w:tcPr>
            <w:tcW w:w="1728" w:type="dxa"/>
          </w:tcPr>
          <w:p w14:paraId="17D30F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</w:t>
            </w:r>
          </w:p>
        </w:tc>
        <w:tc>
          <w:tcPr>
            <w:tcW w:w="1728" w:type="dxa"/>
          </w:tcPr>
          <w:p w14:paraId="3D9CA4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7,874</w:t>
            </w:r>
          </w:p>
        </w:tc>
        <w:tc>
          <w:tcPr>
            <w:tcW w:w="1728" w:type="dxa"/>
          </w:tcPr>
          <w:p w14:paraId="453448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68.73%</w:t>
            </w:r>
          </w:p>
        </w:tc>
        <w:tc>
          <w:tcPr>
            <w:tcW w:w="1728" w:type="dxa"/>
          </w:tcPr>
          <w:p w14:paraId="547128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3.3%</w:t>
            </w:r>
          </w:p>
        </w:tc>
      </w:tr>
    </w:tbl>
    <w:p w14:paraId="2F4B0C59">
      <w:pPr>
        <w:rPr>
          <w:rFonts w:hint="eastAsia" w:ascii="宋体" w:hAnsi="宋体" w:eastAsia="宋体" w:cs="宋体"/>
        </w:rPr>
      </w:pPr>
    </w:p>
    <w:p w14:paraId="2DD7F854">
      <w:pPr>
        <w:rPr>
          <w:rFonts w:hint="eastAsia" w:ascii="宋体" w:hAnsi="宋体" w:eastAsia="宋体" w:cs="宋体"/>
        </w:rPr>
      </w:pPr>
      <w:bookmarkStart w:id="0" w:name="_GoBack"/>
      <w:r>
        <w:rPr>
          <w:rFonts w:hint="eastAsia" w:ascii="宋体" w:hAnsi="宋体" w:eastAsia="宋体" w:cs="宋体"/>
        </w:rPr>
        <w:t>规律：类别数与准确率呈负相关，每增加约 15 类，准确率下降 ~5%。</w:t>
      </w:r>
    </w:p>
    <w:bookmarkEnd w:id="0"/>
    <w:p w14:paraId="6D126527">
      <w:r>
        <w:br w:type="page"/>
      </w:r>
    </w:p>
    <w:p w14:paraId="542C55F2">
      <w:pPr>
        <w:pStyle w:val="3"/>
      </w:pPr>
      <w:r>
        <w:t>五、关键发现与分析</w:t>
      </w:r>
    </w:p>
    <w:p w14:paraId="301A3904">
      <w:pPr>
        <w:pStyle w:val="4"/>
      </w:pPr>
      <w:r>
        <w:t>5.1 LinearSVC 优于 RBF</w:t>
      </w:r>
    </w:p>
    <w:p w14:paraId="0026792D">
      <w:r>
        <w:t>在小样本多类别场景下（30 类 × ~180 训练样本/类），线性核的泛化性优于 RBF 核。PCA 已将特征映射至近线性可分空间，RBF 的非线性变换反而增加过拟合风险。此外，RBF 参数空间（C × γ）更复杂，RandomizedSearchCV 在有限的 8 次采样中难以命中最优组合。</w:t>
      </w:r>
    </w:p>
    <w:p w14:paraId="7A25251A">
      <w:pPr>
        <w:pStyle w:val="4"/>
      </w:pPr>
      <w:r>
        <w:t>5.2 PCA 降维效果显著</w:t>
      </w:r>
    </w:p>
    <w:p w14:paraId="238D4DB9">
      <w:r>
        <w:t>910 维 → 303 维，压缩率 67%，信息损失仅 5%。说明 HOG 特征在相邻 cell 间高度相关，存在大量冗余。48×48 图片 + ppc=8 单元比是性价比最优配置：比 64×64 节省 49% 特征量，准确率无实质下降。</w:t>
      </w:r>
    </w:p>
    <w:p w14:paraId="262745AA">
      <w:pPr>
        <w:pStyle w:val="4"/>
      </w:pPr>
      <w:r>
        <w:t>5.3 数据增强是必需步骤</w:t>
      </w:r>
    </w:p>
    <w:p w14:paraId="675C18AB">
      <w:r>
        <w:t>不做增强时每类仅 ~95 训练样本，30 个 OVR 分类器难以收敛。增强后每类 ~180 训练样本，CV 稳定在 67%。弹性形变（50% 概率）模拟了不同书写风格，是提升泛化性的关键增强操作。</w:t>
      </w:r>
    </w:p>
    <w:p w14:paraId="65A91801">
      <w:pPr>
        <w:pStyle w:val="4"/>
      </w:pPr>
      <w:r>
        <w:t>5.4 传统方法的根本局限</w:t>
      </w:r>
    </w:p>
    <w:p w14:paraId="4773FBF8">
      <w:r>
        <w:t>HOG+LBP 是纯空间域特征，完全丢失了手写笔画的时间顺序信息。两个视觉相似但书写顺序不同的公式，传统 CV 方法几乎无法区分。此外，完整 LaTeX 公式作为标签粒度太粗，实际应用需要符号级别的识别。</w:t>
      </w:r>
    </w:p>
    <w:p w14:paraId="6B60BFFD">
      <w:pPr>
        <w:pStyle w:val="3"/>
      </w:pPr>
      <w:r>
        <w:t>六、可视化成果</w:t>
      </w:r>
    </w:p>
    <w:p w14:paraId="4A79C42D">
      <w:r>
        <w:t>共生成 14 张实验可视化图表，存放于 experiments/figures/ 目录：</w:t>
      </w:r>
    </w:p>
    <w:p w14:paraId="7F2F643A">
      <w:r>
        <w:t>• 01_sample_grid.png：Top-20 类样本图库</w:t>
      </w:r>
    </w:p>
    <w:p w14:paraId="661CBC59">
      <w:r>
        <w:t>• 02_augmentation_comparison.png：数据增强前后对比</w:t>
      </w:r>
    </w:p>
    <w:p w14:paraId="1B049E50">
      <w:r>
        <w:t>• 03_class_distribution.png：类别分布直方图</w:t>
      </w:r>
    </w:p>
    <w:p w14:paraId="789B6129">
      <w:r>
        <w:t>• 04_hog_visualization.png：HOG 梯度特征可视化</w:t>
      </w:r>
    </w:p>
    <w:p w14:paraId="5E524E4A">
      <w:r>
        <w:t>• 05_lbp_visualization.png：LBP 纹理特征可视化</w:t>
      </w:r>
    </w:p>
    <w:p w14:paraId="0C433575">
      <w:r>
        <w:t>• 06_pca_variance.png：PCA 累计方差曲线（303维@95%）</w:t>
      </w:r>
    </w:p>
    <w:p w14:paraId="4DFC3CAB">
      <w:r>
        <w:t>• 07_dimension_comparison.png：原始维 vs PCA 维对比</w:t>
      </w:r>
    </w:p>
    <w:p w14:paraId="020589AF">
      <w:r>
        <w:t>• 08_accuracy_comparison.png：CV vs Test 准确率对比</w:t>
      </w:r>
    </w:p>
    <w:p w14:paraId="451819E4">
      <w:r>
        <w:t>• 09_kernel_time.png：核函数选择与训练耗时</w:t>
      </w:r>
    </w:p>
    <w:p w14:paraId="2DA1E5B0">
      <w:r>
        <w:t>• 10_confusion_heatmap.png：混淆矩阵热力图 (Top-15)</w:t>
      </w:r>
    </w:p>
    <w:p w14:paraId="5E856811">
      <w:r>
        <w:t>• 11_misclassification.png：Top 误分类对分析</w:t>
      </w:r>
    </w:p>
    <w:p w14:paraId="0417EB0D">
      <w:r>
        <w:t>• 12_summary_dashboard.png：综合实验仪表盘</w:t>
      </w:r>
    </w:p>
    <w:p w14:paraId="2B8AFC0F">
      <w:r>
        <w:t>• 13_prediction_samples.png：预测结果展示（原图+真实+预测）</w:t>
      </w:r>
    </w:p>
    <w:p w14:paraId="0E2ADBF1">
      <w:r>
        <w:t>• 14_per_class_accuracy.png：各类别准确率横向对比</w:t>
      </w:r>
    </w:p>
    <w:p w14:paraId="115E55E7">
      <w:pPr>
        <w:pStyle w:val="3"/>
      </w:pPr>
      <w:r>
        <w:t>七、后续改进方向</w:t>
      </w:r>
    </w:p>
    <w:p w14:paraId="2693889F">
      <w:r>
        <w:rPr>
          <w:b/>
        </w:rPr>
        <w:t>在线时序特征：</w:t>
      </w:r>
      <w:r>
        <w:t>加入笔画方向直方图、书写速度/加速度、曲率等时序特征，利用手写数据的时间维度（预期 +3~5%）</w:t>
      </w:r>
    </w:p>
    <w:p w14:paraId="54C8970E">
      <w:r>
        <w:rPr>
          <w:b/>
        </w:rPr>
        <w:t>符号级识别：</w:t>
      </w:r>
      <w:r>
        <w:t>使用 CROHME 2013/2014 的 isolated symbol 数据集或引入符号分割模型，将任务从公式级降低到符号级（预期 +10~15%）</w:t>
      </w:r>
    </w:p>
    <w:p w14:paraId="5F4D8A06">
      <w:r>
        <w:rPr>
          <w:b/>
        </w:rPr>
        <w:t>多特征融合：</w:t>
      </w:r>
      <w:r>
        <w:t>在线特征(时序) + 离线特征(图像) 拼接，Early Fusion 或 Late Fusion（预期 +5~8%）</w:t>
      </w:r>
    </w:p>
    <w:p w14:paraId="7B8114FC">
      <w:r>
        <w:rPr>
          <w:b/>
        </w:rPr>
        <w:t>深度学习：</w:t>
      </w:r>
      <w:r>
        <w:t>CNN 提取图像特征 + RNN/LSTM 处理时序 + Attention 机制，端到端训练（预期 +15~20%）</w:t>
      </w:r>
    </w:p>
    <w:p w14:paraId="52B30486">
      <w:pPr>
        <w:pStyle w:val="3"/>
      </w:pPr>
      <w:r>
        <w:t>八、总结</w:t>
      </w:r>
    </w:p>
    <w:p w14:paraId="46E0B123">
      <w:r>
        <w:t>本项目从零搭建了 CROHME 手写数学公式识别的传统 CV+ML 完整 pipeline，经历了从数据加载失败、GridSearchCV 时间爆炸、多进程崩溃、高维特征 OOM、到最终稳定收敛的完整踩坑过程。在此期间：</w:t>
      </w:r>
    </w:p>
    <w:p w14:paraId="24DE2A54">
      <w:r>
        <w:t>• 实现了 InkML 解析与笔画渲染、5 种数据增强、HOG+LBP 双特征融合</w:t>
      </w:r>
    </w:p>
    <w:p w14:paraId="5F3E6BBA">
      <w:r>
        <w:t>• 优化了 StandardScaler+PCA 特征工程管线，特征维度从 1,774 降至 303</w:t>
      </w:r>
    </w:p>
    <w:p w14:paraId="2B432C66">
      <w:r>
        <w:t>• 从 GridSearchCV → HalvingGridSearchCV → RandomizedSearchCV，最终选定高效调参策略</w:t>
      </w:r>
    </w:p>
    <w:p w14:paraId="3477EA0F">
      <w:r>
        <w:t>• 解决了 Windows 多进程管理、Python 僵尸进程清理、收敛警告抑制等工程问题</w:t>
      </w:r>
    </w:p>
    <w:p w14:paraId="441F72F1">
      <w:r>
        <w:t>• 12 张全流程可视化图表 + JSON 结构化实验记录，确保可复现性</w:t>
      </w:r>
    </w:p>
    <w:p w14:paraId="7335F9A3"/>
    <w:p w14:paraId="17D1BC8F">
      <w:r>
        <w:t>最终模型 HOG(9,8,2)+LBP(8,1,uniform) → PCA(303维) → LinearSVC(C=0.039) 在 CROHME Top-30 公式识别任务上 达到 68.73% 测试准确率，超出随机基线（3.3%）20 倍，验证了传统 CV 方法在数学公式识别上的可行性。但距实用水平（&gt;90%）仍有差距，根本瓶颈在于传统特征无法捕获手写的时序特性。建议下一步引入在线笔画特征或迁移至深度学习方法。</w:t>
      </w:r>
    </w:p>
    <w:p w14:paraId="79E8EC34">
      <w:pPr>
        <w:pStyle w:val="3"/>
      </w:pPr>
      <w:r>
        <w:t>附录：产出物清单</w:t>
      </w:r>
    </w:p>
    <w:p w14:paraId="4F952BE6">
      <w:r>
        <w:t>• preprocess.py：InkML 解析、笔画渲染、数据增强 pipeline</w:t>
      </w:r>
    </w:p>
    <w:p w14:paraId="7EF459CB">
      <w:r>
        <w:t>• traditional_model.py：完整 HOG+LBP+PCA+SVM 训练 pipeline + 12 图可视化</w:t>
      </w:r>
    </w:p>
    <w:p w14:paraId="33876F2B">
      <w:r>
        <w:t>• quick_test.py：快速验证脚本（Top-10 类，8 分钟出结果）</w:t>
      </w:r>
    </w:p>
    <w:p w14:paraId="028908D4">
      <w:r>
        <w:t>• demo_one_sample.py：单样本演示：原始数据 → 图像 → 符号拆分</w:t>
      </w:r>
    </w:p>
    <w:p w14:paraId="42F15573">
      <w:r>
        <w:t>• visualize_predictions.py：预测效果可视化：原图 + 真实公式 + 预测公式</w:t>
      </w:r>
    </w:p>
    <w:p w14:paraId="6E715A46">
      <w:r>
        <w:t>• finish_report.py：补全实验报告与缺失图表</w:t>
      </w:r>
    </w:p>
    <w:p w14:paraId="6D706C7F">
      <w:r>
        <w:t>• experiments/report_*.json：结构化实验数据（可复现）</w:t>
      </w:r>
    </w:p>
    <w:p w14:paraId="11E304F2">
      <w:r>
        <w:t>• experiments/figures/01-14_*.png：14 张全流程可视化图表</w:t>
      </w:r>
    </w:p>
    <w:p w14:paraId="474C6183">
      <w:r>
        <w:t>• experiments/个人工作报告.md：Markdown 版完整报告</w:t>
      </w:r>
    </w:p>
    <w:p w14:paraId="3684343A">
      <w:r>
        <w:t>• experiments/个人工作报告.docx：本 Word 文档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F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C3E5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C3E5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3336</Words>
  <Characters>6215</Characters>
  <Lines>0</Lines>
  <Paragraphs>0</Paragraphs>
  <TotalTime>2</TotalTime>
  <ScaleCrop>false</ScaleCrop>
  <LinksUpToDate>false</LinksUpToDate>
  <CharactersWithSpaces>6832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杨振凯</cp:lastModifiedBy>
  <dcterms:modified xsi:type="dcterms:W3CDTF">2026-05-19T09:07:37Z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eyJoZGlkIjoiOGVjYmViNzFmYjIzZmM5Zjg4OGY1YzEyYTEyMGVmMzgiLCJ1c2VySWQiOiIxNzg4OTE1NjMxIn0=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F72B68DD7E3D46E2A05EF3CFCD8FBEA8_12</vt:lpwstr>
  </property>
</Properties>
</file>