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E6BD0F">
      <w:pPr>
        <w:jc w:val="center"/>
        <w:rPr>
          <w:sz w:val="48"/>
          <w:szCs w:val="48"/>
        </w:rPr>
      </w:pPr>
      <w:r>
        <w:rPr>
          <w:rFonts w:hint="eastAsia"/>
          <w:sz w:val="48"/>
          <w:szCs w:val="48"/>
        </w:rPr>
        <w:t>个人总结</w:t>
      </w:r>
      <w:bookmarkStart w:id="0" w:name="_GoBack"/>
      <w:bookmarkEnd w:id="0"/>
    </w:p>
    <w:p w14:paraId="3021FA1B">
      <w:pPr>
        <w:jc w:val="center"/>
        <w:rPr>
          <w:color w:val="666666"/>
          <w:sz w:val="28"/>
        </w:rPr>
      </w:pPr>
      <w:r>
        <w:rPr>
          <w:color w:val="666666"/>
          <w:sz w:val="28"/>
        </w:rPr>
        <w:t xml:space="preserve">—— 手写数学公式识别项目 </w:t>
      </w:r>
    </w:p>
    <w:p w14:paraId="38FEA9F3">
      <w:pPr>
        <w:jc w:val="center"/>
        <w:rPr>
          <w:rFonts w:hint="default" w:eastAsia="宋体"/>
          <w:color w:val="666666"/>
          <w:sz w:val="28"/>
          <w:lang w:val="en-US" w:eastAsia="zh-CN"/>
        </w:rPr>
      </w:pPr>
      <w:r>
        <w:rPr>
          <w:rFonts w:hint="eastAsia"/>
          <w:color w:val="666666"/>
          <w:sz w:val="28"/>
          <w:lang w:val="en-US" w:eastAsia="zh-CN"/>
        </w:rPr>
        <w:t>信管2302 钟京序 202321054056</w:t>
      </w:r>
    </w:p>
    <w:p w14:paraId="20D1E710"/>
    <w:p w14:paraId="31C66B4F">
      <w:pPr>
        <w:pStyle w:val="3"/>
        <w:rPr>
          <w:color w:val="000000" w:themeColor="text1"/>
          <w14:textFill>
            <w14:solidFill>
              <w14:schemeClr w14:val="tx1"/>
            </w14:solidFill>
          </w14:textFill>
        </w:rPr>
      </w:pPr>
      <w:r>
        <w:rPr>
          <w:color w:val="000000" w:themeColor="text1"/>
          <w14:textFill>
            <w14:solidFill>
              <w14:schemeClr w14:val="tx1"/>
            </w14:solidFill>
          </w14:textFill>
        </w:rPr>
        <w:t>一、项目概述</w:t>
      </w:r>
    </w:p>
    <w:p w14:paraId="011994F3">
      <w:r>
        <w:t>本项目以「从传统机器学习到多模态大模型的手写数学公式识别」为主题，系统比较了传统机器学习与多模态大模型两条技术路线在手写数学公式识别任务上的性能与适用性。项目基于CROHME国际竞赛数据集（共计22,021个样本，覆盖5,317种LaTeX公式类型），从数据准备、特征工程、模型建立到评估部署，完整地实现了从分类范式到生成范式的技术演进探索。</w:t>
      </w:r>
    </w:p>
    <w:p w14:paraId="3C65F050">
      <w:r>
        <w:t>传统机器学习路线采用HOG+LBP+PCA+SVM的组合方案，在30类子集上达到68.73%的识别准确率；多模态大模型路线则基于TrOCR+LoRA+DeepSeek的端到端深度学习方案，在全量921个样本上取得了85.2%的识别准确率，并在矩阵公式识别这一传统ML完全无法处理的任务上实现了45.9%的突破。项目最终验证了两条路线互补的结论：传统ML适合受限场景，大模型适合高精度开放场景。</w:t>
      </w:r>
    </w:p>
    <w:p w14:paraId="44158708">
      <w:pPr>
        <w:pStyle w:val="3"/>
        <w:rPr>
          <w:color w:val="000000" w:themeColor="text1"/>
          <w14:textFill>
            <w14:solidFill>
              <w14:schemeClr w14:val="tx1"/>
            </w14:solidFill>
          </w14:textFill>
        </w:rPr>
      </w:pPr>
      <w:r>
        <w:rPr>
          <w:color w:val="000000" w:themeColor="text1"/>
          <w14:textFill>
            <w14:solidFill>
              <w14:schemeClr w14:val="tx1"/>
            </w14:solidFill>
          </w14:textFill>
        </w:rPr>
        <w:t>二、个人分工与工作内容</w:t>
      </w:r>
    </w:p>
    <w:p w14:paraId="1749A261">
      <w:pPr>
        <w:pStyle w:val="4"/>
        <w:rPr>
          <w:color w:val="000000" w:themeColor="text1"/>
          <w14:textFill>
            <w14:solidFill>
              <w14:schemeClr w14:val="tx1"/>
            </w14:solidFill>
          </w14:textFill>
        </w:rPr>
      </w:pPr>
      <w:r>
        <w:rPr>
          <w:color w:val="000000" w:themeColor="text1"/>
          <w14:textFill>
            <w14:solidFill>
              <w14:schemeClr w14:val="tx1"/>
            </w14:solidFill>
          </w14:textFill>
        </w:rPr>
        <w:t>（一）选题分析与讨论</w:t>
      </w:r>
    </w:p>
    <w:p w14:paraId="7E387037">
      <w:r>
        <w:t>在项目启动阶段，我积极参与了项目选题讨论，与组员共同分析了多个候选方向的技术可行性与研究价值。经过充分的调研和论证，最终协助确定了以CROHME数据集为基础、同时覆盖传统机器学习与多模态大模型双路线对比的技术方案。这一选题既涵盖了课程已学的经典方法（建立性能基线），又引入了前沿的深度学习方法以追求更高性能，具有良好的教学意义和探索价值。相关讨论内容整理输出为会议记录。</w:t>
      </w:r>
    </w:p>
    <w:p w14:paraId="57643DB1">
      <w:pPr>
        <w:pStyle w:val="4"/>
        <w:rPr>
          <w:color w:val="000000" w:themeColor="text1"/>
          <w14:textFill>
            <w14:solidFill>
              <w14:schemeClr w14:val="tx1"/>
            </w14:solidFill>
          </w14:textFill>
        </w:rPr>
      </w:pPr>
      <w:r>
        <w:rPr>
          <w:color w:val="000000" w:themeColor="text1"/>
          <w14:textFill>
            <w14:solidFill>
              <w14:schemeClr w14:val="tx1"/>
            </w14:solidFill>
          </w14:textFill>
        </w:rPr>
        <w:t>（二）PPT制作与排版</w:t>
      </w:r>
    </w:p>
    <w:p w14:paraId="14380F4B">
      <w:r>
        <w:t>我负责制作了整个项目的汇报PPT，这是本人在本次项目中投入最多、产出最核心的工作。我对PPT的内容结构进行了系统设计，确保逻辑清晰、层层递进：从项目背景与目标入手，引出数据准备与探索性分析，再到三条技术路线（传统ML、对比学习探索、多模态大模型）的模型建立过程，最后以评估结果对比和部署建议收尾，形成完整的技术叙事闭环。</w:t>
      </w:r>
    </w:p>
    <w:p w14:paraId="297ABE90">
      <w:r>
        <w:t>在排版美化方面，我注重视觉呈现的质量：合理运用图示辅助说明复杂概念（如HOG特征提取流程、Transformer注意力机制、LoRA微调原理等），采用统一的配色风格和版式设计，确保PPT整体美观、专业。最终输出的PPT文件共20页，涵盖了项目从背景到总结的全部关键内容，获得了组员的一致认可。</w:t>
      </w:r>
    </w:p>
    <w:p w14:paraId="2347511B">
      <w:pPr>
        <w:pStyle w:val="4"/>
        <w:rPr>
          <w:color w:val="000000" w:themeColor="text1"/>
          <w14:textFill>
            <w14:solidFill>
              <w14:schemeClr w14:val="tx1"/>
            </w14:solidFill>
          </w14:textFill>
        </w:rPr>
      </w:pPr>
      <w:r>
        <w:rPr>
          <w:color w:val="000000" w:themeColor="text1"/>
          <w14:textFill>
            <w14:solidFill>
              <w14:schemeClr w14:val="tx1"/>
            </w14:solidFill>
          </w14:textFill>
        </w:rPr>
        <w:t>（三）环境配置与测试</w:t>
      </w:r>
    </w:p>
    <w:p w14:paraId="0BCBD68E">
      <w:r>
        <w:t>我承担了项目开发环境的搭建与可行性验证工作。具体包括：配置CUDA运行环境以满足深度学习模型的训练需求，安装项目所需的各种依赖库（包括python-pptx、python-docx、Pillow、numpy、scikit-learn等传统ML库以及transformers、torch等深度学习框架），并成功跑通基础流程以验证技术方案的可行性。这一环节为后续组员开展各自的开发工作奠定了坚实的环境基础。相关配置步骤整理输出为环境配置说明文档。</w:t>
      </w:r>
    </w:p>
    <w:p w14:paraId="463C2486">
      <w:pPr>
        <w:pStyle w:val="4"/>
        <w:rPr>
          <w:color w:val="000000" w:themeColor="text1"/>
          <w14:textFill>
            <w14:solidFill>
              <w14:schemeClr w14:val="tx1"/>
            </w14:solidFill>
          </w14:textFill>
        </w:rPr>
      </w:pPr>
      <w:r>
        <w:rPr>
          <w:color w:val="000000" w:themeColor="text1"/>
          <w14:textFill>
            <w14:solidFill>
              <w14:schemeClr w14:val="tx1"/>
            </w14:solidFill>
          </w14:textFill>
        </w:rPr>
        <w:t>（四）对比学习辅助探索</w:t>
      </w:r>
    </w:p>
    <w:p w14:paraId="55C9FC0F">
      <w:r>
        <w:t>在模型建立阶段，我参与了对比学习方案的实验设计与讨论。对比学习作为从传统分类到生成范式之间的过渡探索方案，我调研了其基础概念（包括Anchor/Positive/Negative样本构建、InfoNCE损失函数等核心原理），并整理了2-3篇对比学习在图像检索领域应用的文献文摘，为组内评估该方案的实际落地可行性提供了参考依据。虽然对比学习方案最终因准确率较低而放弃，但这一探索过程加深了我们对检索式识别范式局限性的理解，也为最终转向生成式大模型方案提供了有价值的对比参照。相关工作整理输出为对比学习文献调研报告和方案评估记录。</w:t>
      </w:r>
    </w:p>
    <w:p w14:paraId="7051C6E3">
      <w:pPr>
        <w:pStyle w:val="3"/>
        <w:rPr>
          <w:color w:val="000000" w:themeColor="text1"/>
          <w14:textFill>
            <w14:solidFill>
              <w14:schemeClr w14:val="tx1"/>
            </w14:solidFill>
          </w14:textFill>
        </w:rPr>
      </w:pPr>
      <w:r>
        <w:rPr>
          <w:color w:val="000000" w:themeColor="text1"/>
          <w14:textFill>
            <w14:solidFill>
              <w14:schemeClr w14:val="tx1"/>
            </w14:solidFill>
          </w14:textFill>
        </w:rPr>
        <w:t>三、个人收获与体会</w:t>
      </w:r>
    </w:p>
    <w:p w14:paraId="7C3EBF98">
      <w:pPr>
        <w:pStyle w:val="4"/>
        <w:rPr>
          <w:color w:val="000000" w:themeColor="text1"/>
          <w14:textFill>
            <w14:solidFill>
              <w14:schemeClr w14:val="tx1"/>
            </w14:solidFill>
          </w14:textFill>
        </w:rPr>
      </w:pPr>
      <w:r>
        <w:rPr>
          <w:color w:val="000000" w:themeColor="text1"/>
          <w14:textFill>
            <w14:solidFill>
              <w14:schemeClr w14:val="tx1"/>
            </w14:solidFill>
          </w14:textFill>
        </w:rPr>
        <w:t>（一）技术层面的提升</w:t>
      </w:r>
    </w:p>
    <w:p w14:paraId="1DF9BDE7">
      <w:r>
        <w:t>通过本次项目，我深入理解了从传统机器学习到多模态大模型的技术演进路径。在传统ML部分，我掌握了HOG方向梯度直方图、LBP局部二值模式等手工特征提取方法，以及PCA降维和SVM分类器的完整使用流程，亲身实践了特征工程中类别平衡、超参搜索等工程难点问题的处理。在多模态大模型部分，我理解了TrOCR的ViT编码器+RoBERTa解码器架构，了解了LoRA低秩适配微调的原理与价值——用极少的可训练参数实现了模型的高效微调。同时，通过DeepSeek API的二次校正方案设计，我认识到了大模型在语法修正、语义推断和结构优化方面的协同价值。</w:t>
      </w:r>
    </w:p>
    <w:p w14:paraId="1D71F6E2">
      <w:pPr>
        <w:pStyle w:val="4"/>
        <w:rPr>
          <w:color w:val="000000" w:themeColor="text1"/>
          <w14:textFill>
            <w14:solidFill>
              <w14:schemeClr w14:val="tx1"/>
            </w14:solidFill>
          </w14:textFill>
        </w:rPr>
      </w:pPr>
      <w:r>
        <w:rPr>
          <w:color w:val="000000" w:themeColor="text1"/>
          <w14:textFill>
            <w14:solidFill>
              <w14:schemeClr w14:val="tx1"/>
            </w14:solidFill>
          </w14:textFill>
        </w:rPr>
        <w:t>（二）工程实践能力的锻炼</w:t>
      </w:r>
    </w:p>
    <w:p w14:paraId="07B141B2">
      <w:r>
        <w:t>在环境配置与测试环节，我提升了独立搭建深度学习开发环境的能力，学会了处理CUDA兼容性、依赖冲突等实际工程中常见的问题。在PPT制作过程中，我锻炼了技术内容的提炼和可视化表达能力，学会了如何将复杂的算法原理转化为清晰易懂的图示和文字说明。</w:t>
      </w:r>
    </w:p>
    <w:p w14:paraId="5FE6712D">
      <w:pPr>
        <w:pStyle w:val="4"/>
      </w:pPr>
      <w:r>
        <w:rPr>
          <w:color w:val="000000" w:themeColor="text1"/>
          <w14:textFill>
            <w14:solidFill>
              <w14:schemeClr w14:val="tx1"/>
            </w14:solidFill>
          </w14:textFill>
        </w:rPr>
        <w:t>（三）团队协作与科研思维的培养</w:t>
      </w:r>
    </w:p>
    <w:p w14:paraId="795C7D55">
      <w:r>
        <w:t>在选题讨论和对比学习方案评估中，我与组员进行了多次深入的技术讨论，学会了从多个维度评估技术方案的可行性。同时，通过对比两条技术路线的完整实验过程，我深刻体会到：技术的选择没有绝对的优劣，关键在于匹配具体的应用场景和资源约束。这种辩证看待技术问题的思维方式，将对我今后的学习和工作产生深远影响。</w:t>
      </w:r>
    </w:p>
    <w:p w14:paraId="618EDF02">
      <w:pPr>
        <w:pStyle w:val="3"/>
        <w:rPr>
          <w:color w:val="000000" w:themeColor="text1"/>
          <w14:textFill>
            <w14:solidFill>
              <w14:schemeClr w14:val="tx1"/>
            </w14:solidFill>
          </w14:textFill>
        </w:rPr>
      </w:pPr>
      <w:r>
        <w:rPr>
          <w:color w:val="000000" w:themeColor="text1"/>
          <w14:textFill>
            <w14:solidFill>
              <w14:schemeClr w14:val="tx1"/>
            </w14:solidFill>
          </w14:textFill>
        </w:rPr>
        <w:t>四、总结</w:t>
      </w:r>
    </w:p>
    <w:p w14:paraId="52CF760D">
      <w:r>
        <w:t>在本项目中，我从选题分析、PPT制作排版、环境配置到对比学习辅助探索，全面参与了项目的各个关键环节，按时高质量地完成了所承担的全部任务。特别是PPT的制作与排版，作为项目成果的最终呈现载体，我投入了大量精力精心打磨，确保项目的研究思路、实验过程和核心结论得到了清晰、完整的展示。通过本次课程项目，我不仅巩固了课程所学的机器学习知识，还拓展了对多模态大模型、LoRA微调等前沿技术的认识，在工程实践和团队协作方面也获得了宝贵的经验。</w:t>
      </w:r>
    </w:p>
    <w:p w14:paraId="4CEDD7D6"/>
    <w:p w14:paraId="3AC02D83">
      <w:pPr>
        <w:jc w:val="right"/>
      </w:pPr>
      <w:r>
        <w:rPr>
          <w:color w:val="666666"/>
          <w:sz w:val="24"/>
        </w:rPr>
        <w:t>个人总结完成日期：2026年6月</w:t>
      </w:r>
    </w:p>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74217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2003</Words>
  <Characters>2242</Characters>
  <Lines>0</Lines>
  <Paragraphs>0</Paragraphs>
  <TotalTime>4</TotalTime>
  <ScaleCrop>false</ScaleCrop>
  <LinksUpToDate>false</LinksUpToDate>
  <CharactersWithSpaces>2246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序</cp:lastModifiedBy>
  <dcterms:modified xsi:type="dcterms:W3CDTF">2026-06-15T08:23:58Z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eyJoZGlkIjoiMjA4MGRhZjliYmZkYTc2ODZkNTY4Nzk3ODUyYTNiMDgiLCJ1c2VySWQiOiI0NjYwMjQ3OTMifQ==</vt:lpwstr>
  </property>
  <property fmtid="{D5CDD505-2E9C-101B-9397-08002B2CF9AE}" pid="3" name="KSOProductBuildVer">
    <vt:lpwstr>2052-12.1.0.26375</vt:lpwstr>
  </property>
  <property fmtid="{D5CDD505-2E9C-101B-9397-08002B2CF9AE}" pid="4" name="ICV">
    <vt:lpwstr>5EE286835CD746D386D0CFBC5CF081BA_12</vt:lpwstr>
  </property>
</Properties>
</file>