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老师九项意见</w:t>
        <w:br/>
        <w:t>实施结果与效果报告</w:t>
      </w:r>
    </w:p>
    <w:p>
      <w:pPr>
        <w:pStyle w:val="Subtitle"/>
      </w:pPr>
      <w:r>
        <w:t>2026 年 9 月 30 日  ·  独立研究版本 teacher9_20260930</w:t>
      </w:r>
    </w:p>
    <w:p>
      <w:r>
        <w:t>现有文件能够支撑的研究工作已经实际运行：股票池、因子审计与筛选、滚动训练、现金账户、指数对照、HMM 及分钟执行测试均有代码和可核查产物。原先的首轮实验保留，未覆盖。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72"/>
        <w:gridCol w:w="7488"/>
      </w:tblGrid>
      <w:tr>
        <w:trPr>
          <w:cantSplit/>
          <w:tblHeader/>
        </w:trPr>
        <w:tc>
          <w:tcPr>
            <w:tcW w:type="dxa" w:w="1872"/>
            <w:vAlign w:val="center"/>
            <w:shd w:fill="F1F5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40" w:before="0" w:line="254" w:lineRule="auto"/>
            </w:pPr>
            <w:r>
              <w:rPr>
                <w:b/>
                <w:sz w:val="22"/>
              </w:rPr>
              <w:t>本轮范围</w:t>
            </w:r>
          </w:p>
        </w:tc>
        <w:tc>
          <w:tcPr>
            <w:tcW w:type="dxa" w:w="7488"/>
            <w:vAlign w:val="center"/>
            <w:shd w:fill="F1F5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40" w:before="0" w:line="254" w:lineRule="auto"/>
            </w:pPr>
            <w:r>
              <w:rPr>
                <w:b/>
                <w:sz w:val="22"/>
              </w:rPr>
              <w:t>实际完成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2"/>
              </w:rPr>
              <w:t>北交所</w:t>
            </w:r>
          </w:p>
        </w:tc>
        <w:tc>
          <w:tcPr>
            <w:tcW w:type="dxa" w:w="7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2"/>
              </w:rPr>
              <w:t>8 个季度滚动；2024-10-08—2026-09-29 账户评价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2"/>
              </w:rPr>
              <w:t>沪深样本</w:t>
            </w:r>
          </w:p>
        </w:tc>
        <w:tc>
          <w:tcPr>
            <w:tcW w:type="dxa" w:w="7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2"/>
              </w:rPr>
              <w:t>31 个季度滚动；2019-01-02—2026-08-21 账户评价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2"/>
              </w:rPr>
              <w:t>验证</w:t>
            </w:r>
          </w:p>
        </w:tc>
        <w:tc>
          <w:tcPr>
            <w:tcW w:type="dxa" w:w="74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2"/>
              </w:rPr>
              <w:t>12 项功能测试；16 条账户、39 轮训练边界检查通过</w:t>
            </w:r>
          </w:p>
        </w:tc>
      </w:tr>
    </w:tbl>
    <w:p>
      <w:pPr>
        <w:pStyle w:val="Heading1"/>
      </w:pPr>
      <w:r>
        <w:t>效果：有改进，也暴露了明确问题</w:t>
      </w:r>
    </w:p>
    <w:p>
      <w:r>
        <w:t>北交所筛选因子 LightGBM 的研究账户累计 +64.47%，价格模型为 +14.40%。但主模型最大回撤 -45.33%，2026 年截至 9 月 29 日为 −26.60%，不能据累计收益判断策略稳定。</w:t>
      </w:r>
    </w:p>
    <w:p>
      <w:r>
        <w:t>Ridge 对照累计 +88.24%，优于 LightGBM；HMM 的收益和夏普均不如固定 85% 仓位上限。沪深样本筛选模型累计 -40.35%，没有证明跨市场有效。</w:t>
      </w:r>
    </w:p>
    <w:p>
      <w:r>
        <w:t>分钟压力回放只完成约 67.5% 的目标股数；因子额外延迟一天，主模型累计收益降至 +27.27%。执行与数据可用时间对结果影响很大。</w:t>
      </w:r>
    </w:p>
    <w:p>
      <w:pPr>
        <w:pStyle w:val="Heading1"/>
      </w:pPr>
      <w:r>
        <w:t>这些数字能说明什么</w:t>
      </w:r>
    </w:p>
    <w:p>
      <w:r>
        <w:t>上述收益是扣除假设成本的未复权价格研究账户结果。真实分红送转台账、完整历史股票资格与商业平台执行尚未验收，因此不能视为可直接实现的投资收益。本轮完成的是可复现研究与问题定位，尚未完成实盘策略验收。</w:t>
      </w:r>
    </w:p>
    <w:p>
      <w:pPr>
        <w:pStyle w:val="Heading1"/>
        <w:pageBreakBefore/>
      </w:pPr>
      <w:r>
        <w:t>九项意见逐项对照</w:t>
      </w:r>
    </w:p>
    <w:p>
      <w:r>
        <w:t>“已实现”表示代码和本轮产物已经运行；不代表所有数据口径和策略有效性均通过正式验收。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56"/>
        <w:gridCol w:w="4896"/>
        <w:gridCol w:w="2808"/>
      </w:tblGrid>
      <w:tr>
        <w:trPr>
          <w:cantSplit/>
          <w:tblHeader/>
        </w:trPr>
        <w:tc>
          <w:tcPr>
            <w:tcW w:type="dxa" w:w="1656"/>
            <w:vAlign w:val="center"/>
            <w:shd w:fill="F1F5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40" w:before="0" w:line="254" w:lineRule="auto"/>
            </w:pPr>
            <w:r>
              <w:rPr>
                <w:b/>
                <w:sz w:val="21"/>
              </w:rPr>
              <w:t>问题</w:t>
            </w:r>
          </w:p>
        </w:tc>
        <w:tc>
          <w:tcPr>
            <w:tcW w:type="dxa" w:w="4896"/>
            <w:vAlign w:val="center"/>
            <w:shd w:fill="F1F5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40" w:before="0" w:line="254" w:lineRule="auto"/>
            </w:pPr>
            <w:r>
              <w:rPr>
                <w:b/>
                <w:sz w:val="21"/>
              </w:rPr>
              <w:t>本次实际工作与效果</w:t>
            </w:r>
          </w:p>
        </w:tc>
        <w:tc>
          <w:tcPr>
            <w:tcW w:type="dxa" w:w="2808"/>
            <w:vAlign w:val="center"/>
            <w:shd w:fill="F1F5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40" w:before="0" w:line="254" w:lineRule="auto"/>
            </w:pPr>
            <w:r>
              <w:rPr>
                <w:b/>
                <w:sz w:val="21"/>
              </w:rPr>
              <w:t>当前边界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1  动态 Top100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按过去 20 日成交额每日重建；最多 100 只；保留未入池原因与因子缺失记录。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实现完成；资格仍用历史有效交易记录代理。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2  资金曲线与基准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现金/股数记账，成本、T+1、延期卖出；统一指数和模型对照。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研究账户完成；真实公司行为待补。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3  2500+ 字段与去重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2508 字段全匹配字典；2447 为数值候选。训练内日截面相关去重。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全量完成最新快照审计；历史建模覆盖 292 个 Alpha 字段。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4  单因子和模型比较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每日 Rank IC、HAC、BY-FDR、五分组；LightGBM/Ridge/单因子对照。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本轮完成；Ridge 更好，未据此回调测试参数。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5  沪深长历史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300 只可用文件样本，独立 31 轮价格特征实验。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完成试验；非全市场，含幸存者偏差。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6  真正滚动训练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每季重新筛选、验证早停、重训，清除跨边界标签。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北交所 8 轮、沪深 31 轮完成。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7  HMM 解释和对照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两状态、月度重估、前向过滤；输出概率、转移和仓位图。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未通过增量效果判断；收敛诊断有异常。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8  时点、复权与单位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增加一天延迟测试、复权差异诊断、日分钟单位核对、历史股本面板。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已推进；真实发布时间与公司行为仍缺。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9  vn.py 与执行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分钟订单回放、版本化信号、时间门控、离线 BarData 适配器。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准备完成；商业版环境未安装验收。</w:t>
            </w:r>
          </w:p>
        </w:tc>
      </w:tr>
    </w:tbl>
    <w:p>
      <w:pPr>
        <w:pStyle w:val="Heading1"/>
        <w:pageBreakBefore/>
      </w:pPr>
      <w:r>
        <w:t>数据与股票池：先确定每天能研究谁</w:t>
      </w:r>
    </w:p>
    <w:p>
      <w:r>
        <w:t>本轮只读下载所需文件，保存来源清单及 SHA-256。北交所 raw/qfq 各 350 个日线文件；沪深确定性抽样 300 只，各取 raw/qfq；另接入 23 个基准文件、120 表最新快照、Alpha 历史、61 个分钟文件和 071/601 历史股本。</w:t>
      </w:r>
    </w:p>
    <w:p>
      <w:pPr>
        <w:keepNext/>
        <w:spacing w:after="40"/>
      </w:pPr>
      <w:r>
        <w:drawing>
          <wp:inline xmlns:a="http://schemas.openxmlformats.org/drawingml/2006/main" xmlns:pic="http://schemas.openxmlformats.org/drawingml/2006/picture">
            <wp:extent cx="5760720" cy="31402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ver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0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 股票池按日重建，成交量与成交额得到的名单并不相同。</w:t>
      </w:r>
    </w:p>
    <w:p>
      <w:r>
        <w:t>入池规则：至少 60 个有效交易日，最近 20 个市场交易日中至少 16 日有有效交易，当日价格、成交量和成交额有效；再按过去 20 日平均成交额降序取前 100。早期不足 100 只时保留真实数量，不强行凑足。</w:t>
      </w:r>
    </w:p>
    <w:p>
      <w:r>
        <w:t>北交所累计纳入 301 只股票、110110 条股票日记录；非空股票池为 75—100 只，155 日不足 100。成交量池与成交额池的重合率中位数为 79%。入池后平均 Alpha 字段覆盖率为 94.49%；11946 条记录低于 70%，仍保留缺失信息。</w:t>
      </w:r>
    </w:p>
    <w:p>
      <w:r>
        <w:t>这修复了静态名单和“因子缺失就换股票”的问题。上市、退市、ST、停牌等正式历史资料仍不完整；当前文件集合也可能遗漏已消失的股票，历史有效交易记录不能替代完整股票身份表。</w:t>
      </w:r>
    </w:p>
    <w:p>
      <w:pPr>
        <w:pStyle w:val="Heading1"/>
        <w:pageBreakBefore/>
      </w:pPr>
      <w:r>
        <w:t>因子筛选与滚动：只让过去参与决策</w:t>
      </w:r>
    </w:p>
    <w:p>
      <w:r>
        <w:t>供应商字典已匹配全部 2508 个非键字段，其中 2447 个数值候选、61 个名称/来源/日期辅助字段。最新快照中，数值候选有 9 个常数字段、22 个覆盖率低于 70%；这些是当日质量结论，不是全历史有效性结论。</w:t>
      </w:r>
    </w:p>
    <w:p>
      <w:r>
        <w:t>历史主实验使用 Alpha101、Alpha191 共 292 个字段，加 12 个价格与流动性特征，共 304 个候选。每轮仅用训练段计算每日横截面 Spearman IC，按覆盖率与 IC 天数筛选，绝对 IC 前 100 名进入去重，日截面相关均值绝对值达到 0.85 则剔除，最多保留 40 个。</w:t>
      </w:r>
    </w:p>
    <w:p>
      <w:pPr>
        <w:keepNext/>
        <w:spacing w:after="40"/>
      </w:pPr>
      <w:r>
        <w:drawing>
          <wp:inline xmlns:a="http://schemas.openxmlformats.org/drawingml/2006/main" xmlns:pic="http://schemas.openxmlformats.org/drawingml/2006/picture">
            <wp:extent cx="5760720" cy="28398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_sele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9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  2026Q3 训练段选中因子的 IC 与相关矩阵（节选 18 个）。</w:t>
      </w:r>
    </w:p>
    <w:p>
      <w:r>
        <w:t>每轮用过去 504 个市场日期作训练段、126 个作验证段；因五日标签跨期，实际训练尾部作清除。验证确定早停轮数后，用测试季度之前的可用标签重训；外层测试季度不参与选因子或调参。39 轮边界检查全部通过。</w:t>
      </w:r>
    </w:p>
    <w:p>
      <w:r>
        <w:t>每轮保留因子卡片、筛除原因、相关矩阵、模型及时间边界。HAC 使用 5 阶滞后，BY-FDR 处理多重比较；q 值作为证据报告，不作为本次额外调参条件。最后一轮选出 7 个 Alpha101、30 个 Alpha191 和 3 个价格特征。</w:t>
      </w:r>
    </w:p>
    <w:p>
      <w:pPr>
        <w:pStyle w:val="Heading1"/>
        <w:pageBreakBefore/>
      </w:pPr>
      <w:r>
        <w:t>北交所：账户有改善，回撤仍然很大</w:t>
      </w:r>
    </w:p>
    <w:p>
      <w:pPr>
        <w:keepNext/>
        <w:spacing w:after="40"/>
      </w:pPr>
      <w:r>
        <w:drawing>
          <wp:inline xmlns:a="http://schemas.openxmlformats.org/drawingml/2006/main" xmlns:pic="http://schemas.openxmlformats.org/drawingml/2006/picture">
            <wp:extent cx="5760720" cy="26845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j_equ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4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3  同一时间区间、相同账户规则的对照。曲线含假设成本，未计真实公司行为。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888"/>
        <w:gridCol w:w="1872"/>
        <w:gridCol w:w="1872"/>
        <w:gridCol w:w="1728"/>
      </w:tblGrid>
      <w:tr>
        <w:trPr>
          <w:cantSplit/>
          <w:tblHeader/>
        </w:trPr>
        <w:tc>
          <w:tcPr>
            <w:tcW w:type="dxa" w:w="3888"/>
            <w:vAlign w:val="center"/>
            <w:shd w:fill="F1F5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40" w:before="0" w:line="254" w:lineRule="auto"/>
            </w:pPr>
            <w:r>
              <w:rPr>
                <w:b/>
                <w:sz w:val="21"/>
              </w:rPr>
              <w:t>模型 / 对照</w:t>
            </w:r>
          </w:p>
        </w:tc>
        <w:tc>
          <w:tcPr>
            <w:tcW w:type="dxa" w:w="1872"/>
            <w:vAlign w:val="center"/>
            <w:shd w:fill="F1F5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40" w:before="0" w:line="254" w:lineRule="auto"/>
            </w:pPr>
            <w:r>
              <w:rPr>
                <w:b/>
                <w:sz w:val="21"/>
              </w:rPr>
              <w:t>累计收益</w:t>
            </w:r>
          </w:p>
        </w:tc>
        <w:tc>
          <w:tcPr>
            <w:tcW w:type="dxa" w:w="1872"/>
            <w:vAlign w:val="center"/>
            <w:shd w:fill="F1F5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40" w:before="0" w:line="254" w:lineRule="auto"/>
            </w:pPr>
            <w:r>
              <w:rPr>
                <w:b/>
                <w:sz w:val="21"/>
              </w:rPr>
              <w:t>最大回撤</w:t>
            </w:r>
          </w:p>
        </w:tc>
        <w:tc>
          <w:tcPr>
            <w:tcW w:type="dxa" w:w="1728"/>
            <w:vAlign w:val="center"/>
            <w:shd w:fill="F1F5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40" w:before="0" w:line="254" w:lineRule="auto"/>
            </w:pPr>
            <w:r>
              <w:rPr>
                <w:b/>
                <w:sz w:val="21"/>
              </w:rPr>
              <w:t>夏普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筛选因子 LightGBM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+64.47%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-45.33%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0.869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价格 LightGBM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+14.40%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-47.88%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0.375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Ridge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+88.24%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-42.44%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1.063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训练选定单因子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+24.86%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-49.51%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0.493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Top100 等权目标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+11.03%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-34.80%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0.332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北证 50 价格指数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-6.01%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—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—</w:t>
            </w:r>
          </w:p>
        </w:tc>
      </w:tr>
    </w:tbl>
    <w:p>
      <w:r>
        <w:t>账户起始 100 万元，每日新批次预算最多为当日净值 20%，选前 5 只；单股上限 10%，买入额受过去 20 日平均成交额的 1% 约束。t+1 开盘买入、t+5 收盘卖出，不能卖出则延期；现金不为负。末五日停止新开批次，以评价完整持有期。</w:t>
      </w:r>
    </w:p>
    <w:p>
      <w:r>
        <w:t>单边合计成本为 15bp 假设；涨跌停使用保守价格阈值代理，未覆盖所有特殊规则。Top100 对照实行等权目标，但受最小股数等约束，平均仓位仅 46.68%，不能当作无摩擦满仓等权指数。</w:t>
      </w:r>
    </w:p>
    <w:p>
      <w:pPr>
        <w:pStyle w:val="Heading1"/>
        <w:pageBreakBefore/>
      </w:pPr>
      <w:r>
        <w:t>效果稳健性：方向、延迟和成本都要看</w:t>
      </w:r>
    </w:p>
    <w:p>
      <w:pPr>
        <w:keepNext/>
        <w:spacing w:after="40"/>
      </w:pPr>
      <w:r>
        <w:drawing>
          <wp:inline xmlns:a="http://schemas.openxmlformats.org/drawingml/2006/main" xmlns:pic="http://schemas.openxmlformats.org/drawingml/2006/picture">
            <wp:extent cx="5577840" cy="26900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ntil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90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4  外层测试五分组均值。五日标签有重叠，这不是复利资金曲线。</w:t>
      </w:r>
    </w:p>
    <w:p>
      <w:r>
        <w:t>主模型 479 个可评价日期的平均 Rank IC 为 0.1531；10 日区块、2000 次自助法的均值 95% 区间为 [0.1255, 0.1837]。相对价格模型的 IC 增量区间为 [0.0029, 0.0240]，支持本样本内存在排序改善；不能由此推断可成交利润。</w:t>
      </w:r>
    </w:p>
    <w:p>
      <w:pPr>
        <w:keepNext/>
        <w:spacing w:after="40"/>
      </w:pPr>
      <w:r>
        <w:drawing>
          <wp:inline xmlns:a="http://schemas.openxmlformats.org/drawingml/2006/main" xmlns:pic="http://schemas.openxmlformats.org/drawingml/2006/picture">
            <wp:extent cx="5486400" cy="21226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t_rando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2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5  随机账户中位数 −12.08%，范围 −39.89%—+9.03%，均低于主模型；仅 10 组，不构成正式检验。</w:t>
      </w:r>
    </w:p>
    <w:p>
      <w:r>
        <w:t>单边成本 5/15/30bp 时，主模型累计分别为 +93.58% / +64.47% / +28.79%。仅给 Alpha 特征额外滞后一天并重训后为 +27.27%，IC 为 0.1291；这说明历史因子真实可用时点必须核实。</w:t>
      </w:r>
    </w:p>
    <w:p>
      <w:pPr>
        <w:pStyle w:val="Heading1"/>
        <w:pageBreakBefore/>
      </w:pPr>
      <w:r>
        <w:t>沪深长历史：流程跑通，结果不支持推广</w:t>
      </w:r>
    </w:p>
    <w:p>
      <w:r>
        <w:t>从当前可用文件中，按股票代码 SHA-256 排序，沪市 60 开头与深市 00 开头各取 150 只。该样本不是历史指数成分，也不是全部沪深股票；带有可用文件与幸存者偏差。</w:t>
      </w:r>
    </w:p>
    <w:p>
      <w:pPr>
        <w:keepNext/>
        <w:spacing w:after="40"/>
      </w:pPr>
      <w:r>
        <w:drawing>
          <wp:inline xmlns:a="http://schemas.openxmlformats.org/drawingml/2006/main" xmlns:pic="http://schemas.openxmlformats.org/drawingml/2006/picture">
            <wp:extent cx="5577840" cy="25993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sz_equ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599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6  2019-01-02—2026-08-21 的独立长历史对照。“300 只样本”不代表沪深 300 成分股。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888"/>
        <w:gridCol w:w="1872"/>
        <w:gridCol w:w="1872"/>
        <w:gridCol w:w="1728"/>
      </w:tblGrid>
      <w:tr>
        <w:trPr>
          <w:cantSplit/>
          <w:tblHeader/>
        </w:trPr>
        <w:tc>
          <w:tcPr>
            <w:tcW w:type="dxa" w:w="3888"/>
            <w:vAlign w:val="center"/>
            <w:shd w:fill="F1F5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40" w:before="0" w:line="254" w:lineRule="auto"/>
            </w:pPr>
            <w:r>
              <w:rPr>
                <w:b/>
                <w:sz w:val="21"/>
              </w:rPr>
              <w:t>模型 / 对照</w:t>
            </w:r>
          </w:p>
        </w:tc>
        <w:tc>
          <w:tcPr>
            <w:tcW w:type="dxa" w:w="1872"/>
            <w:vAlign w:val="center"/>
            <w:shd w:fill="F1F5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40" w:before="0" w:line="254" w:lineRule="auto"/>
            </w:pPr>
            <w:r>
              <w:rPr>
                <w:b/>
                <w:sz w:val="21"/>
              </w:rPr>
              <w:t>累计收益</w:t>
            </w:r>
          </w:p>
        </w:tc>
        <w:tc>
          <w:tcPr>
            <w:tcW w:type="dxa" w:w="1872"/>
            <w:vAlign w:val="center"/>
            <w:shd w:fill="F1F5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40" w:before="0" w:line="254" w:lineRule="auto"/>
            </w:pPr>
            <w:r>
              <w:rPr>
                <w:b/>
                <w:sz w:val="21"/>
              </w:rPr>
              <w:t>最大回撤</w:t>
            </w:r>
          </w:p>
        </w:tc>
        <w:tc>
          <w:tcPr>
            <w:tcW w:type="dxa" w:w="1728"/>
            <w:vAlign w:val="center"/>
            <w:shd w:fill="F1F5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40" w:before="0" w:line="254" w:lineRule="auto"/>
            </w:pPr>
            <w:r>
              <w:rPr>
                <w:b/>
                <w:sz w:val="21"/>
              </w:rPr>
              <w:t>夏普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价格 LightGBM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-14.55%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-39.69%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-0.070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筛选价格特征 LightGBM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-40.35%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-52.12%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-0.399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Ridge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-45.38%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-54.70%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-0.622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Top100 等权目标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-33.80%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-47.39%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-0.463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沪深 300 价格指数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+55.54%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—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—</w:t>
            </w:r>
          </w:p>
        </w:tc>
      </w:tr>
    </w:tbl>
    <w:p>
      <w:r>
        <w:t>沪深实验只使用 12 个价格/流动性候选特征，已完成 31 季度的筛选、验证和重训；未扩展全部 292 个 Alpha 历史，不能声称已完成完整跨市场因子验证。</w:t>
      </w:r>
    </w:p>
    <w:p>
      <w:r>
        <w:t>筛选模型平均 Rank IC 为 0.0592，账户却亏损；相对价格模型的 IC 增量区间为 [−0.0052, 0.0007]，未呈现明确改善。排序相关性、交易成本、公司行为与持仓收益是不同问题，不能用正 IC 代替账户验收。</w:t>
      </w:r>
    </w:p>
    <w:p>
      <w:pPr>
        <w:pStyle w:val="Heading1"/>
        <w:pageBreakBefore/>
      </w:pPr>
      <w:r>
        <w:t>HMM：状态更可解释，但未带来增量效果</w:t>
      </w:r>
    </w:p>
    <w:p>
      <w:pPr>
        <w:keepNext/>
        <w:spacing w:after="40"/>
      </w:pPr>
      <w:r>
        <w:drawing>
          <wp:inline xmlns:a="http://schemas.openxmlformats.org/drawingml/2006/main" xmlns:pic="http://schemas.openxmlformats.org/drawingml/2006/picture">
            <wp:extent cx="5532120" cy="38909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m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890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7  概率是下一交易日预测；仓位上限在信号日之后应用。实际仓位通常低于上限。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888"/>
        <w:gridCol w:w="1872"/>
        <w:gridCol w:w="1872"/>
        <w:gridCol w:w="1728"/>
      </w:tblGrid>
      <w:tr>
        <w:trPr>
          <w:cantSplit/>
          <w:tblHeader/>
        </w:trPr>
        <w:tc>
          <w:tcPr>
            <w:tcW w:type="dxa" w:w="3888"/>
            <w:vAlign w:val="center"/>
            <w:shd w:fill="F1F5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40" w:before="0" w:line="254" w:lineRule="auto"/>
            </w:pPr>
            <w:r>
              <w:rPr>
                <w:b/>
                <w:sz w:val="21"/>
              </w:rPr>
              <w:t>仓位方案</w:t>
            </w:r>
          </w:p>
        </w:tc>
        <w:tc>
          <w:tcPr>
            <w:tcW w:type="dxa" w:w="1872"/>
            <w:vAlign w:val="center"/>
            <w:shd w:fill="F1F5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40" w:before="0" w:line="254" w:lineRule="auto"/>
            </w:pPr>
            <w:r>
              <w:rPr>
                <w:b/>
                <w:sz w:val="21"/>
              </w:rPr>
              <w:t>累计收益</w:t>
            </w:r>
          </w:p>
        </w:tc>
        <w:tc>
          <w:tcPr>
            <w:tcW w:type="dxa" w:w="1872"/>
            <w:vAlign w:val="center"/>
            <w:shd w:fill="F1F5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40" w:before="0" w:line="254" w:lineRule="auto"/>
            </w:pPr>
            <w:r>
              <w:rPr>
                <w:b/>
                <w:sz w:val="21"/>
              </w:rPr>
              <w:t>最大回撤</w:t>
            </w:r>
          </w:p>
        </w:tc>
        <w:tc>
          <w:tcPr>
            <w:tcW w:type="dxa" w:w="1728"/>
            <w:vAlign w:val="center"/>
            <w:shd w:fill="F1F5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40" w:before="0" w:line="254" w:lineRule="auto"/>
            </w:pPr>
            <w:r>
              <w:rPr>
                <w:b/>
                <w:sz w:val="21"/>
              </w:rPr>
              <w:t>夏普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两状态 HMM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+44.69%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-45.32%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0.729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固定 85% 上限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+65.05%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-44.46%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0.897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简单波动率上限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+42.42%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-44.72%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0.709</w:t>
            </w:r>
          </w:p>
        </w:tc>
      </w:tr>
    </w:tbl>
    <w:p>
      <w:r>
        <w:t>观察变量是当日池内平均收益、20 日市场波动对数、上涨下跌广度和离散度；每月仅用此前 504 日标准化并重估，按训练期波动均值标记低/高状态。使用前向过滤，低/高状态对应 100%/70% 上限，再做 0.8/0.2 平滑。</w:t>
      </w:r>
    </w:p>
    <w:p>
      <w:r>
        <w:t>24 次拟合的最短预期状态持续期约 12.89 日；但 10 次入选拟合的最后一步似然略降，库的 converged=True 不能当作严格收敛证明。已另存严格诊断，重算后的状态概率与原输出一致。HMM 夏普低于固定上限约 0.167，故暂不采用为有效增强。</w:t>
      </w:r>
    </w:p>
    <w:p>
      <w:pPr>
        <w:pStyle w:val="Heading1"/>
        <w:pageBreakBefore/>
      </w:pPr>
      <w:r>
        <w:t>价格、股本与时点：修正口径，保留未决项</w:t>
      </w:r>
    </w:p>
    <w:p>
      <w:pPr>
        <w:pStyle w:val="Heading2"/>
      </w:pPr>
      <w:r>
        <w:t>复权文件不能按名称直接代入收益公式</w:t>
      </w:r>
    </w:p>
    <w:p>
      <w:r>
        <w:t>本次北交所检查窗口未发现非正 qfq 收盘价，但 raw 与 qfq 的关系主要呈加法调整特征。47872 对外层测试标签中，492 对的 qfq 比率收益与 raw 价格收益相差超过 1 个百分点；没有负价并不证明比率收益正确。</w:t>
      </w:r>
    </w:p>
    <w:p>
      <w:r>
        <w:t>按 raw/qfq 仿射关系变化标记出 3963 个候选调整边界，756 条测试标签跨越候选边界。剔除这些标签后主模型 IC 为 0.1517，仅是诊断性敏感度结果；边界识别用到未来诊断信息，不能当作可交易过滤条件。</w:t>
      </w:r>
    </w:p>
    <w:p>
      <w:pPr>
        <w:pStyle w:val="Heading2"/>
      </w:pPr>
      <w:r>
        <w:t>历史股本已整理，但没有冒充真实公司行为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88"/>
        <w:gridCol w:w="7272"/>
      </w:tblGrid>
      <w:tr>
        <w:trPr>
          <w:cantSplit/>
          <w:tblHeader/>
        </w:trPr>
        <w:tc>
          <w:tcPr>
            <w:tcW w:type="dxa" w:w="2088"/>
            <w:vAlign w:val="center"/>
            <w:shd w:fill="F1F5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40" w:before="0" w:line="254" w:lineRule="auto"/>
            </w:pPr>
            <w:r>
              <w:rPr>
                <w:b/>
                <w:sz w:val="22"/>
              </w:rPr>
              <w:t>项目</w:t>
            </w:r>
          </w:p>
        </w:tc>
        <w:tc>
          <w:tcPr>
            <w:tcW w:type="dxa" w:w="7272"/>
            <w:vAlign w:val="center"/>
            <w:shd w:fill="F1F5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40" w:before="0" w:line="254" w:lineRule="auto"/>
            </w:pPr>
            <w:r>
              <w:rPr>
                <w:b/>
                <w:sz w:val="22"/>
              </w:rPr>
              <w:t>本次结果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2"/>
              </w:rPr>
              <w:t>历史快照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2"/>
              </w:rPr>
              <w:t>071/601 两表，共 1184 个日期、350 只股票、259656 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2"/>
              </w:rPr>
              <w:t>池内字段覆盖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2"/>
              </w:rPr>
              <w:t>流通股本约 99.983%；自由流通股本 100%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2"/>
              </w:rPr>
              <w:t>口径冲突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2"/>
              </w:rPr>
              <w:t>22954 行出现自由流通股本 &gt; 流通股本，或流通股本 &gt; 总股本；已标记，异常行不生成换手率代理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2"/>
              </w:rPr>
              <w:t>建模使用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2"/>
              </w:rPr>
              <w:t>作为辅助候选保存，未事后加入已评估主模型；未从股本变化推断分红送转</w:t>
            </w:r>
          </w:p>
        </w:tc>
      </w:tr>
    </w:tbl>
    <w:p>
      <w:r>
        <w:t>股本按每日文件日期关联，不以报告期日期回填到历史。来源含报告期口径，可能滞后或修订；文件日 18:00 可用只是研究假设，仍需供应商确认真实发布时点。</w:t>
      </w:r>
    </w:p>
    <w:p>
      <w:pPr>
        <w:pStyle w:val="Heading2"/>
      </w:pPr>
      <w:r>
        <w:t>单位与记账</w:t>
      </w:r>
    </w:p>
    <w:p>
      <w:r>
        <w:t>分钟成交量汇总 / 日线成交量中位数为 99.665，支持日线“手”、分钟“股”的约 100 倍换算；金额汇总比中位数为 0.99666，说明两者仍有覆盖差异。换手率代理采用日线量 ×100 / 历史流通股本。</w:t>
      </w:r>
    </w:p>
    <w:p>
      <w:r>
        <w:t>账户引擎已有显式现金分红和股数调整接口，并通过模拟守恒测试；本次真实账户未输入经核实的分红送转台账。接口正确不等于真实公司行为已经处理完毕。</w:t>
      </w:r>
    </w:p>
    <w:p>
      <w:pPr>
        <w:pStyle w:val="Heading1"/>
        <w:pageBreakBefore/>
      </w:pPr>
      <w:r>
        <w:t>分钟执行与 vn.py：交付可核查的离线准备</w:t>
      </w:r>
    </w:p>
    <w:p>
      <w:r>
        <w:t>检查 61 个分钟文件：2025Q4 的 60 个日期，加 2026-09-24 单位样本。重复键检查通过；空价格、零量和指数行不能当作可成交股票行情。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896"/>
        <w:gridCol w:w="4464"/>
      </w:tblGrid>
      <w:tr>
        <w:trPr>
          <w:cantSplit/>
          <w:tblHeader/>
        </w:trPr>
        <w:tc>
          <w:tcPr>
            <w:tcW w:type="dxa" w:w="4896"/>
            <w:vAlign w:val="center"/>
            <w:shd w:fill="F1F5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40" w:before="0" w:line="254" w:lineRule="auto"/>
            </w:pPr>
            <w:r>
              <w:rPr>
                <w:b/>
                <w:sz w:val="22"/>
              </w:rPr>
              <w:t>2025Q4 订单级压力回放</w:t>
            </w:r>
          </w:p>
        </w:tc>
        <w:tc>
          <w:tcPr>
            <w:tcW w:type="dxa" w:w="4464"/>
            <w:vAlign w:val="center"/>
            <w:shd w:fill="F1F5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40" w:before="0" w:line="254" w:lineRule="auto"/>
            </w:pPr>
            <w:r>
              <w:rPr>
                <w:b/>
                <w:sz w:val="22"/>
              </w:rPr>
              <w:t>结果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2"/>
              </w:rPr>
              <w:t>日线参考订单 / 有分钟文件覆盖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2"/>
              </w:rPr>
              <w:t>558 / 558 笔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2"/>
              </w:rPr>
              <w:t>请求股数 / 回放成交股数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2"/>
              </w:rPr>
              <w:t>2033110 / 1372966 股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2"/>
              </w:rPr>
              <w:t>股数完成率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2"/>
              </w:rPr>
              <w:t>67.53%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2"/>
              </w:rPr>
              <w:t>全量成交订单比例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2"/>
              </w:rPr>
              <w:t>43.37%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2"/>
              </w:rPr>
              <w:t>完全未成交订单比例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2"/>
              </w:rPr>
              <w:t>0%；其余多为部分成交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2"/>
              </w:rPr>
              <w:t>相对日线参考价的不利价差中位数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2"/>
              </w:rPr>
              <w:t>约 10.52bp；单笔值可为负，不等同总组合成本</w:t>
            </w:r>
          </w:p>
        </w:tc>
      </w:tr>
    </w:tbl>
    <w:p>
      <w:r>
        <w:t>入场使用 09:31—10:00，收盘卖出使用 14:50—15:00。预先存在的订单按完成分钟的最不利价格、实际成交量 1% 回放，同股同分钟共享容量。容量用于事后压力测试，不能在分钟开始前预知。</w:t>
      </w:r>
    </w:p>
    <w:p>
      <w:r>
        <w:t>该回放只测试日线已成交参考订单，没有重新引入被拒订单，未重算独立现金资金曲线，也没有队列、冲击或全套交易规则。67.53% 的股数完成率说明日线参考收益不能直接移植为分钟可实现收益。</w:t>
      </w:r>
    </w:p>
    <w:p>
      <w:pPr>
        <w:pStyle w:val="Heading2"/>
      </w:pPr>
      <w:r>
        <w:t>离线交接与验证</w:t>
      </w:r>
    </w:p>
    <w:p>
      <w:r>
        <w:t>已导出 2420 条带模型版本、可用时点、最早执行日的研究信号；最新信号日为 9 月 29 日，按假设最早用于 9 月 30 日。vnpy_adapter.py 提供 BJ→BSE 映射、时间门控和分钟 BarData 转换；商业版环境未安装、未连接、未发单，尚不能声称平台迁移完成。</w:t>
      </w:r>
    </w:p>
    <w:p>
      <w:r>
        <w:t>12 项测试通过，覆盖记账、T+1、延期、零量、限价代理、公司行为模拟及防未来信息。16 条账户的现金加市值误差最大 9.3e-10；39 轮边界与去重检查通过，首轮 16 个文件哈希不变。</w:t>
      </w:r>
    </w:p>
    <w:p>
      <w:pPr>
        <w:pStyle w:val="Heading1"/>
        <w:pageBreakBefore/>
      </w:pPr>
      <w:r>
        <w:t>交付位置、复现方式与剩余验收</w:t>
      </w:r>
    </w:p>
    <w:p>
      <w:pPr>
        <w:pStyle w:val="Caption"/>
      </w:pPr>
      <w:r>
        <w:t>下表 R 表示 training_runs/teacher9_20260930/。所有路径相对工作区根目录。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48"/>
        <w:gridCol w:w="6912"/>
      </w:tblGrid>
      <w:tr>
        <w:trPr>
          <w:cantSplit/>
          <w:tblHeader/>
        </w:trPr>
        <w:tc>
          <w:tcPr>
            <w:tcW w:type="dxa" w:w="2448"/>
            <w:vAlign w:val="center"/>
            <w:shd w:fill="F1F5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40" w:before="0" w:line="254" w:lineRule="auto"/>
            </w:pPr>
            <w:r>
              <w:rPr>
                <w:b/>
                <w:sz w:val="21"/>
              </w:rPr>
              <w:t>交付内容</w:t>
            </w:r>
          </w:p>
        </w:tc>
        <w:tc>
          <w:tcPr>
            <w:tcW w:type="dxa" w:w="6912"/>
            <w:vAlign w:val="center"/>
            <w:shd w:fill="F1F5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after="40" w:before="0" w:line="254" w:lineRule="auto"/>
            </w:pPr>
            <w:r>
              <w:rPr>
                <w:b/>
                <w:sz w:val="21"/>
              </w:rPr>
              <w:t>工作区相对路径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本轮研究代码 / 操作说明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tools/research_20260930/README.md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冻结输入与来源清单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training_data/research_20260930/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统一结果与验证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R/final_summary.json、output_verification.json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每季模型、筛选证据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R/bj/、R/shsz/；每季含模型、因子卡片与边界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资金、成交、分钟回放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R/*_account.csv、*_trades.csv、</w:t>
              <w:br/>
              <w:t>minute_order_replay.csv、execution_signals.csv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学习笔记入口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before="0" w:line="254" w:lineRule="auto"/>
            </w:pPr>
            <w:r>
              <w:rPr>
                <w:b w:val="0"/>
                <w:sz w:val="21"/>
              </w:rPr>
              <w:t>学习笔记/README.md，原方案顶部已添加实施说明</w:t>
            </w:r>
          </w:p>
        </w:tc>
      </w:tr>
    </w:tbl>
    <w:p>
      <w:r>
        <w:t>复现顺序：冻结输入 → prepare → 字典映射 → train → accounts → replay → prepare_capital → test_research → verify_outputs → analyze → build_report。命令见代码目录 README；研究使用 .venv_quant，Word 与字典使用文档运行时。</w:t>
      </w:r>
    </w:p>
    <w:p>
      <w:pPr>
        <w:pStyle w:val="Heading2"/>
      </w:pPr>
      <w:r>
        <w:t>剩余工作对应明确验收条件</w:t>
      </w:r>
    </w:p>
    <w:p>
      <w:r>
        <w:t>数据：补正式历史股票资格，核对分红送转日期、现金和股数；确认因子与股本的发布/修订时点，处理 22954 条股本口径冲突。</w:t>
      </w:r>
    </w:p>
    <w:p>
      <w:r>
        <w:t>执行：接入真实公司行为、费用和交易规则并对账；分钟回放需联合管理现金、持仓、未成交订单与容量，随后在交付的 vn.py 环境验收。</w:t>
      </w:r>
    </w:p>
    <w:p>
      <w:r>
        <w:t>研究：保留本次正负结果，用新时间段验证模型，扩展沪深 Alpha 历史和股票范围；不能根据本次测试收益调参后仍称独立验证。</w:t>
      </w:r>
    </w:p>
    <w:p>
      <w:pPr>
        <w:pStyle w:val="Heading2"/>
      </w:pPr>
      <w:r>
        <w:t>口径参考与证据</w:t>
      </w:r>
    </w:p>
    <w:p>
      <w:pPr>
        <w:pStyle w:val="Caption"/>
      </w:pPr>
      <w:r>
        <w:t>数值来自本地冻结输入和验证产物。日线限价检查为研究代理，未完整复刻下列正式规则；点击名称可查原文。</w:t>
      </w:r>
    </w:p>
    <w:p>
      <w:pPr>
        <w:pStyle w:val="Caption"/>
      </w:pPr>
      <w:hyperlink r:id="rId18">
        <w:r>
          <w:rPr>
            <w:color w:val="22577A"/>
          </w:rPr>
          <w:t>北交所交易规则</w:t>
        </w:r>
      </w:hyperlink>
      <w:r>
        <w:t xml:space="preserve">  ·  </w:t>
      </w:r>
      <w:hyperlink r:id="rId19">
        <w:r>
          <w:rPr>
            <w:color w:val="22577A"/>
          </w:rPr>
          <w:t>北交所历史规则</w:t>
        </w:r>
      </w:hyperlink>
      <w:r>
        <w:t xml:space="preserve">  ·  </w:t>
      </w:r>
      <w:hyperlink r:id="rId20">
        <w:r>
          <w:rPr>
            <w:color w:val="22577A"/>
          </w:rPr>
          <w:t>vn.py 组合策略文档</w:t>
        </w:r>
      </w:hyperlink>
      <w:r>
        <w:t xml:space="preserve">  ·  </w:t>
      </w:r>
      <w:hyperlink r:id="rId21">
        <w:r>
          <w:rPr>
            <w:color w:val="22577A"/>
          </w:rPr>
          <w:t>vn.py 交易所枚举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582"/>
        <w:sz w:val="18"/>
      </w:rPr>
      <w:t xml:space="preserve">研究用途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D9E1E6" w:space="6"/>
      </w:pBdr>
    </w:pPr>
    <w:r>
      <w:rPr>
        <w:color w:val="647582"/>
        <w:sz w:val="18"/>
      </w:rPr>
      <w:t>研究实施记录  /  老师九项意见  /  2026-09-30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before="0" w:after="120"/>
    </w:pPr>
    <w:rPr>
      <w:rFonts w:ascii="Arial" w:hAnsi="Arial" w:eastAsia="Microsoft YaHei"/>
      <w:b w:val="0"/>
      <w:i w:val="0"/>
      <w:color w:val="202B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59" w:lineRule="auto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i w:val="0"/>
      <w:color w:val="22577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59" w:lineRule="auto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i w:val="0"/>
      <w:color w:val="2257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59" w:lineRule="auto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i w:val="0"/>
      <w:color w:val="22577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59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b/>
      <w:i w:val="0"/>
      <w:color w:val="22577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59" w:lineRule="auto" w:before="0" w:after="120"/>
    </w:pPr>
    <w:rPr>
      <w:rFonts w:asciiTheme="majorHAnsi" w:eastAsiaTheme="majorEastAsia" w:hAnsiTheme="majorHAnsi" w:cstheme="majorBidi" w:ascii="Arial" w:hAnsi="Arial" w:eastAsia="Microsoft YaHei"/>
      <w:b w:val="0"/>
      <w:i w:val="0"/>
      <w:iCs/>
      <w:color w:val="647582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9" w:lineRule="auto" w:before="0" w:after="120"/>
    </w:pPr>
    <w:rPr>
      <w:rFonts w:ascii="Arial" w:hAnsi="Arial" w:eastAsia="Microsoft YaHei"/>
      <w:b w:val="0"/>
      <w:bCs/>
      <w:i w:val="0"/>
      <w:color w:val="647582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yperlink" Target="https://www.bse.cn/jygl_list/200028217.html" TargetMode="External"/><Relationship Id="rId19" Type="http://schemas.openxmlformats.org/officeDocument/2006/relationships/hyperlink" Target="https://www.bse.cn/jygl_list/200010919.html" TargetMode="External"/><Relationship Id="rId20" Type="http://schemas.openxmlformats.org/officeDocument/2006/relationships/hyperlink" Target="https://www.vnpy.com/docs/cn/community/app/portfolio_strategy.html" TargetMode="External"/><Relationship Id="rId21" Type="http://schemas.openxmlformats.org/officeDocument/2006/relationships/hyperlink" Target="https://github.com/vnpy/vnpy/blob/master/vnpy/trader/constant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老师九项意见：实施结果与效果报告</dc:title>
  <dc:subject>2026-09-30 冻结研究、结果与验收边界</dc:subject>
  <dc:creator>量化研究项目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