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从零读懂量化项目</w:t>
        <w:br/>
        <w:t>先知道每段代码在做什么</w:t>
      </w:r>
    </w:p>
    <w:p>
      <w:pPr>
        <w:pStyle w:val="Subtitle"/>
      </w:pPr>
      <w:r>
        <w:t>面向软件工程研究生｜当前代码快照：2026-10-13｜行情截止：2026-10-09</w:t>
      </w:r>
    </w:p>
    <w:p>
      <w:pPr>
        <w:pStyle w:val="Heading2"/>
      </w:pPr>
      <w:r>
        <w:t>这个项目要解决的问题</w:t>
      </w:r>
    </w:p>
    <w:p>
      <w:r>
        <w:t>在每个交易日收盘后，利用当时可用的价量和因子信息，对一个动态股票池里的股票排序，研究未来1、2、5、10、20个交易日期限上的相对表现。然后把评分送入带现金、持股、交易成本和成交约束的模拟账户，检验排序能否转化为有风险约束的净收益。</w:t>
      </w:r>
    </w:p>
    <w:p>
      <w:pPr>
        <w:pStyle w:val="Heading2"/>
      </w:pPr>
      <w:r>
        <w:t>用软件工程语言理解</w:t>
      </w:r>
    </w:p>
    <w:p>
      <w:r>
        <w:t>这是一个有时间约束的数据流水线：采集与校验 → 特征表 → 监督学习 → 批量推理 → 决策规则 → 交易模拟器 → 指标与审计。训练脚本像离线批处理；模型文件像版本化构建产物；输入哈希和运行记录类似可复现构建日志。金融上的额外困难，是未来标签要等待、行情会变、交易会受限制。</w:t>
      </w:r>
    </w:p>
    <w:p>
      <w:pPr>
        <w:pStyle w:val="Heading2"/>
      </w:pPr>
      <w:r>
        <w:t>一个小例子</w:t>
      </w:r>
    </w:p>
    <w:p>
      <w:r>
        <w:t>假设今天池里有100只股票，模型给100个分数，规则拟买排名前10。即使排名第一，账户也可能因现金不足、最低股数或成交容量而买不到。股票评分、计划持仓、实际成交、账户收益是四层不同的数据，必须逐层核对。</w:t>
      </w:r>
    </w:p>
    <w:p>
      <w:pPr>
        <w:pStyle w:val="Heading2"/>
      </w:pPr>
      <w:r>
        <w:t>先明确当前结论</w:t>
      </w:r>
    </w:p>
    <w:p>
      <w:r>
        <w:t>项目已经能够进行本地滚动实验，但还不是经过前瞻验证、可直接实盘运行的稳定盈利系统。按验证规则自动选型的方案未同时达到Sharpe&gt;1、Calmar&gt;2；部分历史探索候选达到全期数字，近期窗口仍失败。</w:t>
      </w:r>
    </w:p>
    <w:p>
      <w:pPr>
        <w:pStyle w:val="Caption"/>
      </w:pPr>
      <w:r>
        <w:t>学习入口只有两份：本导读负责全局地图；《02_从零讲义_第1课》只解释样本、时间轴、训练和每日预测。其余模块按课程顺序逐课展开，不要求一次学完。</w:t>
      </w:r>
    </w:p>
    <w:p>
      <w:pPr>
        <w:pStyle w:val="Heading1"/>
        <w:pageBreakBefore/>
      </w:pPr>
      <w:r>
        <w:t>1  完整数据流：文件怎样变成账户结果</w:t>
      </w:r>
    </w:p>
    <w:p>
      <w:r>
        <w:drawing>
          <wp:inline xmlns:a="http://schemas.openxmlformats.org/drawingml/2006/main" xmlns:pic="http://schemas.openxmlformats.org/drawingml/2006/picture">
            <wp:extent cx="5897880" cy="3361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全局数据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6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实线表示当前数据或结果依赖；扩展分支分别研究，不能把它们的最好结果混成同一条策略。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60"/>
        <w:gridCol w:w="7800"/>
      </w:tblGrid>
      <w:tr>
        <w:trPr>
          <w:cantSplit/>
          <w:tblHeader/>
        </w:trPr>
        <w:tc>
          <w:tcPr>
            <w:tcW w:type="dxa" w:w="1560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  <w:shd w:fill="EEF3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层次</w:t>
            </w:r>
          </w:p>
        </w:tc>
        <w:tc>
          <w:tcPr>
            <w:tcW w:type="dxa" w:w="7800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  <w:shd w:fill="EEF3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核心产物与含义</w:t>
            </w:r>
          </w:p>
        </w:tc>
      </w:tr>
      <w:tr>
        <w:trPr>
          <w:cantSplit/>
        </w:trPr>
        <w:tc>
          <w:tcPr>
            <w:tcW w:type="dxa" w:w="1560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输入</w:t>
            </w:r>
          </w:p>
        </w:tc>
        <w:tc>
          <w:tcPr>
            <w:tcW w:type="dxa" w:w="7800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training_data/research_20261011：原始/后复权日线、供应商因子、公司行为；同时依赖9月30日和10月8日历史快照。</w:t>
            </w:r>
          </w:p>
        </w:tc>
      </w:tr>
      <w:tr>
        <w:trPr>
          <w:cantSplit/>
        </w:trPr>
        <w:tc>
          <w:tcPr>
            <w:tcW w:type="dxa" w:w="1560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学习</w:t>
            </w:r>
          </w:p>
        </w:tc>
        <w:tc>
          <w:tcPr>
            <w:tcW w:type="dxa" w:w="7800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model_panel.parquet：每行一只股票在一个日期的特征和离线标签；models.joblib：训练后固定的模型。</w:t>
            </w:r>
          </w:p>
        </w:tc>
      </w:tr>
      <w:tr>
        <w:trPr>
          <w:cantSplit/>
        </w:trPr>
        <w:tc>
          <w:tcPr>
            <w:tcW w:type="dxa" w:w="1560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决策</w:t>
            </w:r>
          </w:p>
        </w:tc>
        <w:tc>
          <w:tcPr>
            <w:tcW w:type="dxa" w:w="7800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h*/predictions.parquet：每天每只股票的评分；schedule.csv：由验证选择的模型配套交易设置。</w:t>
            </w:r>
          </w:p>
        </w:tc>
      </w:tr>
      <w:tr>
        <w:trPr>
          <w:cantSplit/>
        </w:trPr>
        <w:tc>
          <w:tcPr>
            <w:tcW w:type="dxa" w:w="1560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执行与证据</w:t>
            </w:r>
          </w:p>
        </w:tc>
        <w:tc>
          <w:tcPr>
            <w:tcW w:type="dxa" w:w="7800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selected_daily/orders/trades/holdings：现金、股数、成交和净值；metrics、分段结果、核验文件供复查。</w:t>
            </w:r>
          </w:p>
        </w:tc>
      </w:tr>
    </w:tbl>
    <w:p>
      <w:pPr>
        <w:pStyle w:val="Caption"/>
      </w:pPr>
      <w:r>
        <w:t>箭头顺序不是随意调用：run_local.ps1规定主流程。Jev默认禁止付费联网；Kronos推理独立运行；目前没有每日收盘自动调度与券商下单系统。</w:t>
      </w:r>
    </w:p>
    <w:p>
      <w:pPr>
        <w:pStyle w:val="Heading1"/>
        <w:pageBreakBefore/>
      </w:pPr>
      <w:r>
        <w:t>2  模块依赖：输入、动作、输出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30"/>
        <w:gridCol w:w="4446"/>
        <w:gridCol w:w="2184"/>
      </w:tblGrid>
      <w:tr>
        <w:trPr>
          <w:cantSplit/>
          <w:tblHeader/>
        </w:trPr>
        <w:tc>
          <w:tcPr>
            <w:tcW w:type="dxa" w:w="2730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  <w:shd w:fill="EEF3F5"/>
          </w:tcPr>
          <w:p>
            <w:pPr>
              <w:spacing w:after="20" w:before="20" w:line="254" w:lineRule="auto"/>
            </w:pPr>
            <w:r>
              <w:rPr>
                <w:b/>
                <w:sz w:val="18"/>
              </w:rPr>
              <w:t>模块 / 函数</w:t>
            </w:r>
          </w:p>
        </w:tc>
        <w:tc>
          <w:tcPr>
            <w:tcW w:type="dxa" w:w="4446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  <w:shd w:fill="EEF3F5"/>
          </w:tcPr>
          <w:p>
            <w:pPr>
              <w:spacing w:after="20" w:before="20" w:line="254" w:lineRule="auto"/>
            </w:pPr>
            <w:r>
              <w:rPr>
                <w:b/>
                <w:sz w:val="18"/>
              </w:rPr>
              <w:t>输入 → 动作 → 输出</w:t>
            </w:r>
          </w:p>
        </w:tc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  <w:shd w:fill="EEF3F5"/>
          </w:tcPr>
          <w:p>
            <w:pPr>
              <w:spacing w:after="20" w:before="20" w:line="254" w:lineRule="auto"/>
            </w:pPr>
            <w:r>
              <w:rPr>
                <w:b/>
                <w:sz w:val="18"/>
              </w:rPr>
              <w:t>上下游</w:t>
            </w:r>
          </w:p>
        </w:tc>
      </w:tr>
      <w:tr>
        <w:trPr>
          <w:cantSplit/>
        </w:trPr>
        <w:tc>
          <w:tcPr>
            <w:tcW w:type="dxa" w:w="2730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audit_sync.inventory / sync</w:t>
            </w:r>
          </w:p>
        </w:tc>
        <w:tc>
          <w:tcPr>
            <w:tcW w:type="dxa" w:w="4446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远端目录与旧快照 → 只读盘点、下载、哈希 → manifest与文件</w:t>
            </w:r>
          </w:p>
        </w:tc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准备数据前；默认复现可不联网</w:t>
            </w:r>
          </w:p>
        </w:tc>
      </w:tr>
      <w:tr>
        <w:trPr>
          <w:cantSplit/>
        </w:trPr>
        <w:tc>
          <w:tcPr>
            <w:tcW w:type="dxa" w:w="2730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prepare_data.main</w:t>
            </w:r>
          </w:p>
        </w:tc>
        <w:tc>
          <w:tcPr>
            <w:tcW w:type="dxa" w:w="4446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行情与因子 → 股票池、历史特征、未来标签、同日排名 → prices / model_panel</w:t>
            </w:r>
          </w:p>
        </w:tc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依赖旧prepare.prices；供训练与状态识别</w:t>
            </w:r>
          </w:p>
        </w:tc>
      </w:tr>
      <w:tr>
        <w:trPr>
          <w:cantSplit/>
        </w:trPr>
        <w:tc>
          <w:tcPr>
            <w:tcW w:type="dxa" w:w="2730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regimes.main / filtered</w:t>
            </w:r>
          </w:p>
        </w:tc>
        <w:tc>
          <w:tcPr>
            <w:tcW w:type="dxa" w:w="4446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市场历史统计 → 月度HMM与每日前向概率 → regime_probabilities</w:t>
            </w:r>
          </w:p>
        </w:tc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供条件评分、仓位上限</w:t>
            </w:r>
          </w:p>
        </w:tc>
      </w:tr>
      <w:tr>
        <w:trPr>
          <w:cantSplit/>
        </w:trPr>
        <w:tc>
          <w:tcPr>
            <w:tcW w:type="dxa" w:w="2730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train_models.screening</w:t>
            </w:r>
          </w:p>
        </w:tc>
        <w:tc>
          <w:tcPr>
            <w:tcW w:type="dxa" w:w="4446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当前训练窗 → IC近似统计、覆盖与去重 → 因子列表</w:t>
            </w:r>
          </w:p>
        </w:tc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只用当前可训练区间；最多100项</w:t>
            </w:r>
          </w:p>
        </w:tc>
      </w:tr>
      <w:tr>
        <w:trPr>
          <w:cantSplit/>
        </w:trPr>
        <w:tc>
          <w:tcPr>
            <w:tcW w:type="dxa" w:w="2730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fit_predict / choose / main</w:t>
            </w:r>
          </w:p>
        </w:tc>
        <w:tc>
          <w:tcPr>
            <w:tcW w:type="dxa" w:w="4446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训练、验证、测试块 → 拟合、验证选型、季度重拟合 → 模型/评分/设置</w:t>
            </w:r>
          </w:p>
        </w:tc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choose调用ledger在验证期模拟；最终评分也交给ledger</w:t>
            </w:r>
          </w:p>
        </w:tc>
      </w:tr>
      <w:tr>
        <w:trPr>
          <w:cantSplit/>
        </w:trPr>
        <w:tc>
          <w:tcPr>
            <w:tcW w:type="dxa" w:w="2730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ledger.Market.run / metrics</w:t>
            </w:r>
          </w:p>
        </w:tc>
        <w:tc>
          <w:tcPr>
            <w:tcW w:type="dxa" w:w="4446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评分、价格、公司行为、风险设置 → 逐日现金股数记账 → 账户与指标</w:t>
            </w:r>
          </w:p>
        </w:tc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各实验共同调用；主链默认5bp/边</w:t>
            </w:r>
          </w:p>
        </w:tc>
      </w:tr>
      <w:tr>
        <w:trPr>
          <w:cantSplit/>
        </w:trPr>
        <w:tc>
          <w:tcPr>
            <w:tcW w:type="dxa" w:w="2730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evaluate_models.main</w:t>
            </w:r>
          </w:p>
        </w:tc>
        <w:tc>
          <w:tcPr>
            <w:tcW w:type="dxa" w:w="4446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固定评分与账户 → 对照、费用敏感性、分段、bootstrap → 评估结果</w:t>
            </w:r>
          </w:p>
        </w:tc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不会把事后最好方案回写成自动选择成绩</w:t>
            </w:r>
          </w:p>
        </w:tc>
      </w:tr>
      <w:tr>
        <w:trPr>
          <w:cantSplit/>
        </w:trPr>
        <w:tc>
          <w:tcPr>
            <w:tcW w:type="dxa" w:w="2730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verify / final_checks</w:t>
            </w:r>
          </w:p>
        </w:tc>
        <w:tc>
          <w:tcPr>
            <w:tcW w:type="dxa" w:w="4446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合成数据及真实产物 → T+1、资金、容量、边界检查 → 检查记录</w:t>
            </w:r>
          </w:p>
        </w:tc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检查正确性；不证明未来盈利</w:t>
            </w:r>
          </w:p>
        </w:tc>
      </w:tr>
      <w:tr>
        <w:trPr>
          <w:cantSplit/>
        </w:trPr>
        <w:tc>
          <w:tcPr>
            <w:tcW w:type="dxa" w:w="2730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requirements_matrix / report_assets / build_report</w:t>
            </w:r>
          </w:p>
        </w:tc>
        <w:tc>
          <w:tcPr>
            <w:tcW w:type="dxa" w:w="4446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结果与任务 → 来源映射、图表、报告</w:t>
            </w:r>
          </w:p>
        </w:tc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展示层；不产生新的投资收益</w:t>
            </w:r>
          </w:p>
        </w:tc>
      </w:tr>
    </w:tbl>
    <w:p>
      <w:pPr>
        <w:pStyle w:val="Caption"/>
      </w:pPr>
      <w:r>
        <w:t>独立扩展：short_windows（月度短窗）、risk_refinement与portfolio_extension（历史探索）、intraday与legacy_extensions（分钟/沪深）、factor_timing（因子收益择时）、factor_dsl（24个公式）、jev_adapter（离线文本接口）、kronos_probe（本地公开模型）。逐文件函数与行号见“核对资料/代码索引.md”。</w:t>
      </w:r>
    </w:p>
    <w:p>
      <w:pPr>
        <w:pStyle w:val="Heading1"/>
        <w:pageBreakBefore/>
      </w:pPr>
      <w:r>
        <w:t>3  实现状态与证据：当前能说到哪一步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18"/>
        <w:gridCol w:w="6942"/>
      </w:tblGrid>
      <w:tr>
        <w:trPr>
          <w:cantSplit/>
          <w:tblHeader/>
        </w:trPr>
        <w:tc>
          <w:tcPr>
            <w:tcW w:type="dxa" w:w="241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  <w:shd w:fill="EEF3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type="dxa" w:w="694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  <w:shd w:fill="EEF3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当前证据</w:t>
            </w:r>
          </w:p>
        </w:tc>
      </w:tr>
      <w:tr>
        <w:trPr>
          <w:cantSplit/>
        </w:trPr>
        <w:tc>
          <w:tcPr>
            <w:tcW w:type="dxa" w:w="241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已经实现并留下产物</w:t>
            </w:r>
          </w:p>
        </w:tc>
        <w:tc>
          <w:tcPr>
            <w:tcW w:type="dxa" w:w="694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335项候选输入、动态Top100、5个期限、季度监督模型、月度HMM、连续账户、分钟与短窗扩展。</w:t>
            </w:r>
          </w:p>
        </w:tc>
      </w:tr>
      <w:tr>
        <w:trPr>
          <w:cantSplit/>
        </w:trPr>
        <w:tc>
          <w:tcPr>
            <w:tcW w:type="dxa" w:w="241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已核对但范围有限</w:t>
            </w:r>
          </w:p>
        </w:tc>
        <w:tc>
          <w:tcPr>
            <w:tcW w:type="dxa" w:w="694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9项合成检查、5个期限产物检查；本次重载Q3/Q4模型，6项预测一致性检查通过。</w:t>
            </w:r>
          </w:p>
        </w:tc>
      </w:tr>
      <w:tr>
        <w:trPr>
          <w:cantSplit/>
        </w:trPr>
        <w:tc>
          <w:tcPr>
            <w:tcW w:type="dxa" w:w="241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尚未完成</w:t>
            </w:r>
          </w:p>
        </w:tc>
        <w:tc>
          <w:tcPr>
            <w:tcW w:type="dxa" w:w="694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按老师新简化协议的完整重跑、完整PIT行业/风格中性化、全部异常价格外部核验、真实Jev文本评估、每日生产调度。</w:t>
            </w:r>
          </w:p>
        </w:tc>
      </w:tr>
      <w:tr>
        <w:trPr>
          <w:cantSplit/>
        </w:trPr>
        <w:tc>
          <w:tcPr>
            <w:tcW w:type="dxa" w:w="241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未经验证的条件</w:t>
            </w:r>
          </w:p>
        </w:tc>
        <w:tc>
          <w:tcPr>
            <w:tcW w:type="dxa" w:w="694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供应商因子的历史发布版本、历史证券资格、分红真实到账和送转可卖日；旧回测不能自动保证这些条件。</w:t>
            </w:r>
          </w:p>
        </w:tc>
      </w:tr>
      <w:tr>
        <w:trPr>
          <w:cantSplit/>
        </w:trPr>
        <w:tc>
          <w:tcPr>
            <w:tcW w:type="dxa" w:w="241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待检验的研究假说</w:t>
            </w:r>
          </w:p>
        </w:tc>
        <w:tc>
          <w:tcPr>
            <w:tcW w:type="dxa" w:w="694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更短训练窗一定更好、HMM一定有增益、更多因子一定更有效、正IC足以保证多头赚钱，均不能当作事实。</w:t>
            </w:r>
          </w:p>
        </w:tc>
      </w:tr>
    </w:tbl>
    <w:p>
      <w:pPr>
        <w:pStyle w:val="Heading2"/>
      </w:pPr>
      <w:r>
        <w:t>先看自动选择成绩，再看探索成绩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84"/>
        <w:gridCol w:w="2184"/>
        <w:gridCol w:w="2184"/>
        <w:gridCol w:w="2808"/>
      </w:tblGrid>
      <w:tr>
        <w:trPr>
          <w:cantSplit/>
          <w:tblHeader/>
        </w:trPr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  <w:shd w:fill="EEF3F5"/>
          </w:tcPr>
          <w:p>
            <w:pPr>
              <w:spacing w:after="20" w:before="20" w:line="254" w:lineRule="auto"/>
            </w:pPr>
            <w:r>
              <w:rPr>
                <w:b/>
                <w:sz w:val="20"/>
              </w:rPr>
              <w:t>预测期限</w:t>
            </w:r>
          </w:p>
        </w:tc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  <w:shd w:fill="EEF3F5"/>
          </w:tcPr>
          <w:p>
            <w:pPr>
              <w:spacing w:after="20" w:before="20" w:line="254" w:lineRule="auto"/>
            </w:pPr>
            <w:r>
              <w:rPr>
                <w:b/>
                <w:sz w:val="20"/>
              </w:rPr>
              <w:t>Sharpe¹</w:t>
            </w:r>
          </w:p>
        </w:tc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  <w:shd w:fill="EEF3F5"/>
          </w:tcPr>
          <w:p>
            <w:pPr>
              <w:spacing w:after="20" w:before="20" w:line="254" w:lineRule="auto"/>
            </w:pPr>
            <w:r>
              <w:rPr>
                <w:b/>
                <w:sz w:val="20"/>
              </w:rPr>
              <w:t>Calmar</w:t>
            </w:r>
          </w:p>
        </w:tc>
        <w:tc>
          <w:tcPr>
            <w:tcW w:type="dxa" w:w="280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  <w:shd w:fill="EEF3F5"/>
          </w:tcPr>
          <w:p>
            <w:pPr>
              <w:spacing w:after="20" w:before="20" w:line="254" w:lineRule="auto"/>
            </w:pPr>
            <w:r>
              <w:rPr>
                <w:b/>
                <w:sz w:val="20"/>
              </w:rPr>
              <w:t>最大回撤</w:t>
            </w:r>
          </w:p>
        </w:tc>
      </w:tr>
      <w:tr>
        <w:trPr>
          <w:cantSplit/>
        </w:trPr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1日</w:t>
            </w:r>
          </w:p>
        </w:tc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1.061</w:t>
            </w:r>
          </w:p>
        </w:tc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1.038</w:t>
            </w:r>
          </w:p>
        </w:tc>
        <w:tc>
          <w:tcPr>
            <w:tcW w:type="dxa" w:w="280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28.00%</w:t>
            </w:r>
          </w:p>
        </w:tc>
      </w:tr>
      <w:tr>
        <w:trPr>
          <w:cantSplit/>
        </w:trPr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2日</w:t>
            </w:r>
          </w:p>
        </w:tc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1.238</w:t>
            </w:r>
          </w:p>
        </w:tc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1.412</w:t>
            </w:r>
          </w:p>
        </w:tc>
        <w:tc>
          <w:tcPr>
            <w:tcW w:type="dxa" w:w="280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24.60%</w:t>
            </w:r>
          </w:p>
        </w:tc>
      </w:tr>
      <w:tr>
        <w:trPr>
          <w:cantSplit/>
        </w:trPr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5日</w:t>
            </w:r>
          </w:p>
        </w:tc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1.028</w:t>
            </w:r>
          </w:p>
        </w:tc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0.940</w:t>
            </w:r>
          </w:p>
        </w:tc>
        <w:tc>
          <w:tcPr>
            <w:tcW w:type="dxa" w:w="280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23.87%</w:t>
            </w:r>
          </w:p>
        </w:tc>
      </w:tr>
      <w:tr>
        <w:trPr>
          <w:cantSplit/>
        </w:trPr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10日</w:t>
            </w:r>
          </w:p>
        </w:tc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0.515</w:t>
            </w:r>
          </w:p>
        </w:tc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0.440</w:t>
            </w:r>
          </w:p>
        </w:tc>
        <w:tc>
          <w:tcPr>
            <w:tcW w:type="dxa" w:w="280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22.75%</w:t>
            </w:r>
          </w:p>
        </w:tc>
      </w:tr>
      <w:tr>
        <w:trPr>
          <w:cantSplit/>
        </w:trPr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20日</w:t>
            </w:r>
          </w:p>
        </w:tc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0.228</w:t>
            </w:r>
          </w:p>
        </w:tc>
        <w:tc>
          <w:tcPr>
            <w:tcW w:type="dxa" w:w="2184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0.237</w:t>
            </w:r>
          </w:p>
        </w:tc>
        <w:tc>
          <w:tcPr>
            <w:tcW w:type="dxa" w:w="2808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20"/>
              </w:rPr>
              <w:t>14.78%</w:t>
            </w:r>
          </w:p>
        </w:tc>
      </w:tr>
    </w:tbl>
    <w:p>
      <w:pPr>
        <w:pStyle w:val="Caption"/>
      </w:pPr>
      <w:r>
        <w:t>¹ 固定比较口径：2024-10-08至2026-09-30，485个交易日，5bp/边，Sharpe无风险年率1.5%；数据文件h*/main_period_metrics.json。完整快照还包含10月8/9日，两种截止日期的数字不能混用。</w:t>
      </w:r>
    </w:p>
    <w:p>
      <w:r>
        <w:t>短窗月度扩展共480组：全期41组达标，近一年0组、近半年0组，三个区间同时达标0组。1bp费用敏感性已有结果，但与按1bp重新进行完整验证选择是两件不同的实验。老师接受t+5/t+6内部一致，本轮教学沿用现有t+5定义。</w:t>
      </w:r>
    </w:p>
    <w:p>
      <w:pPr>
        <w:pStyle w:val="Heading1"/>
        <w:pageBreakBefore/>
      </w:pPr>
      <w:r>
        <w:t>4  学习地图：每次只讲一个模块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62"/>
        <w:gridCol w:w="3666"/>
        <w:gridCol w:w="3432"/>
      </w:tblGrid>
      <w:tr>
        <w:trPr>
          <w:cantSplit/>
          <w:tblHeader/>
        </w:trPr>
        <w:tc>
          <w:tcPr>
            <w:tcW w:type="dxa" w:w="226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  <w:shd w:fill="EEF3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课程</w:t>
            </w:r>
          </w:p>
        </w:tc>
        <w:tc>
          <w:tcPr>
            <w:tcW w:type="dxa" w:w="3666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  <w:shd w:fill="EEF3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需要理解的知识</w:t>
            </w:r>
          </w:p>
        </w:tc>
        <w:tc>
          <w:tcPr>
            <w:tcW w:type="dxa" w:w="343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  <w:shd w:fill="EEF3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学完能独立回答</w:t>
            </w:r>
          </w:p>
        </w:tc>
      </w:tr>
      <w:tr>
        <w:trPr>
          <w:cantSplit/>
        </w:trPr>
        <w:tc>
          <w:tcPr>
            <w:tcW w:type="dxa" w:w="226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第1课：样本与时间轴</w:t>
            </w:r>
          </w:p>
        </w:tc>
        <w:tc>
          <w:tcPr>
            <w:tcW w:type="dxa" w:w="3666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面板数据、横截面、特征/标签、fit/predict、重训与持有周期</w:t>
            </w:r>
          </w:p>
        </w:tc>
        <w:tc>
          <w:tcPr>
            <w:tcW w:type="dxa" w:w="343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100只股票×40因子怎样进模型？旧表β来自何时？</w:t>
            </w:r>
          </w:p>
        </w:tc>
      </w:tr>
      <w:tr>
        <w:trPr>
          <w:cantSplit/>
        </w:trPr>
        <w:tc>
          <w:tcPr>
            <w:tcW w:type="dxa" w:w="226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第2课：数据与股票池</w:t>
            </w:r>
          </w:p>
        </w:tc>
        <w:tc>
          <w:tcPr>
            <w:tcW w:type="dxa" w:w="3666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成交量/额、价格复权、缺失、历史可得性与生存者偏差</w:t>
            </w:r>
          </w:p>
        </w:tc>
        <w:tc>
          <w:tcPr>
            <w:tcW w:type="dxa" w:w="343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为什么池子每天变？什么时候算偷看未来？</w:t>
            </w:r>
          </w:p>
        </w:tc>
      </w:tr>
      <w:tr>
        <w:trPr>
          <w:cantSplit/>
        </w:trPr>
        <w:tc>
          <w:tcPr>
            <w:tcW w:type="dxa" w:w="226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第3课：因子与筛选</w:t>
            </w:r>
          </w:p>
        </w:tc>
        <w:tc>
          <w:tcPr>
            <w:tcW w:type="dxa" w:w="3666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动量/反转、Rank IC、ICIR、相关去重、多重比较</w:t>
            </w:r>
          </w:p>
        </w:tc>
        <w:tc>
          <w:tcPr>
            <w:tcW w:type="dxa" w:w="343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40/60/100项怎么选？负IC怎样理解？</w:t>
            </w:r>
          </w:p>
        </w:tc>
      </w:tr>
      <w:tr>
        <w:trPr>
          <w:cantSplit/>
        </w:trPr>
        <w:tc>
          <w:tcPr>
            <w:tcW w:type="dxa" w:w="226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第4课：模型与训练</w:t>
            </w:r>
          </w:p>
        </w:tc>
        <w:tc>
          <w:tcPr>
            <w:tcW w:type="dxa" w:w="3666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Ridge正则、树与提升、排序损失、验证选择、泄漏</w:t>
            </w:r>
          </w:p>
        </w:tc>
        <w:tc>
          <w:tcPr>
            <w:tcW w:type="dxa" w:w="343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学习的目标是什么？参数为什么这样设？</w:t>
            </w:r>
          </w:p>
        </w:tc>
      </w:tr>
      <w:tr>
        <w:trPr>
          <w:cantSplit/>
        </w:trPr>
        <w:tc>
          <w:tcPr>
            <w:tcW w:type="dxa" w:w="226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第5课：账户与回测</w:t>
            </w:r>
          </w:p>
        </w:tc>
        <w:tc>
          <w:tcPr>
            <w:tcW w:type="dxa" w:w="3666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现金/股数、T+1、费用、分批持有、容量与延期成交</w:t>
            </w:r>
          </w:p>
        </w:tc>
        <w:tc>
          <w:tcPr>
            <w:tcW w:type="dxa" w:w="343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为什么好评分没有变成好净值？</w:t>
            </w:r>
          </w:p>
        </w:tc>
      </w:tr>
      <w:tr>
        <w:trPr>
          <w:cantSplit/>
        </w:trPr>
        <w:tc>
          <w:tcPr>
            <w:tcW w:type="dxa" w:w="226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第6课：指标与研究结论</w:t>
            </w:r>
          </w:p>
        </w:tc>
        <w:tc>
          <w:tcPr>
            <w:tcW w:type="dxa" w:w="3666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年化、Sharpe、Calmar、最大回撤、分段、置信区间</w:t>
            </w:r>
          </w:p>
        </w:tc>
        <w:tc>
          <w:tcPr>
            <w:tcW w:type="dxa" w:w="343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什么算有效证据？如何避免挑好结果？</w:t>
            </w:r>
          </w:p>
        </w:tc>
      </w:tr>
      <w:tr>
        <w:trPr>
          <w:cantSplit/>
        </w:trPr>
        <w:tc>
          <w:tcPr>
            <w:tcW w:type="dxa" w:w="226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第7课：HMM与扩展</w:t>
            </w:r>
          </w:p>
        </w:tc>
        <w:tc>
          <w:tcPr>
            <w:tcW w:type="dxa" w:w="3666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状态概率、风险预算、对照与消融、LLM/Jev/Kronos边界</w:t>
            </w:r>
          </w:p>
        </w:tc>
        <w:tc>
          <w:tcPr>
            <w:tcW w:type="dxa" w:w="3432"/>
            <w:tcMar>
              <w:top w:w="65" w:type="dxa"/>
              <w:bottom w:w="65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增加模块是否真的产生样本外增益？</w:t>
            </w:r>
          </w:p>
        </w:tc>
      </w:tr>
    </w:tbl>
    <w:p>
      <w:pPr>
        <w:pStyle w:val="Heading2"/>
      </w:pPr>
      <w:r>
        <w:t>固定教学方式</w:t>
      </w:r>
    </w:p>
    <w:p>
      <w:r>
        <w:t>每课按“直观问题 → 小数字手算 → 必要公式 → 本项目文件/函数/行号 → 自测”展开。先由你复述核心结论，再进入下一课。遇到老师追问，先给一句准确结论，再给一组数据和一处源码，不靠堆模型名回答。</w:t>
      </w:r>
    </w:p>
    <w:p>
      <w:pPr>
        <w:pStyle w:val="Heading2"/>
      </w:pPr>
      <w:r>
        <w:t>阅读约定</w:t>
      </w:r>
    </w:p>
    <w:p>
      <w:r>
        <w:t>金融知识在这里用于理解收益和交易约束；统计知识用于衡量信号、噪声和研究偏差；机器学习知识用于把历史映射变为可复核的预测。代码写出了某功能、检查通过了某性质、实验支持了某结论，三者分别陈述。</w:t>
      </w:r>
    </w:p>
    <w:p>
      <w:pPr>
        <w:pStyle w:val="Caption"/>
      </w:pPr>
      <w:r>
        <w:t>本次核对当前研究目录26个Python脚本、配置与流程文件及旧版必要依赖，共35个源文件；重载已存模型和读取已存结果，不重新调参、不启动SFTP同步、不调用Jev。行号以本次代码哈希为准。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2026-10-13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当前项目全局导读  |  先建立地图，再逐课学习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Arial" w:hAnsi="Arial" w:eastAsia="Microsoft YaHei"/>
      <w:b w:val="0"/>
      <w:color w:val="263238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59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3F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C756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59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F5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59" w:lineRule="auto" w:after="120"/>
    </w:pPr>
    <w:rPr>
      <w:rFonts w:asciiTheme="majorHAnsi" w:eastAsiaTheme="majorEastAsia" w:hAnsiTheme="majorHAnsi" w:cstheme="majorBidi" w:ascii="Arial" w:hAnsi="Arial" w:eastAsia="Microsoft YaHei"/>
      <w:b w:val="0"/>
      <w:i/>
      <w:iCs/>
      <w:color w:val="58697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9" w:lineRule="auto" w:after="120"/>
    </w:pPr>
    <w:rPr>
      <w:rFonts w:ascii="Arial" w:hAnsi="Arial" w:eastAsia="Microsoft YaHei"/>
      <w:b w:val="0"/>
      <w:bCs/>
      <w:color w:val="586974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01_从零读懂量化项目_全局导读</dc:title>
  <dc:subject/>
  <dc:creator>项目科研学习记录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