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多期限选股项目</w:t>
        <w:br/>
        <w:t>完整研究说明与实验报告</w:t>
      </w:r>
    </w:p>
    <w:p>
      <w:pPr>
        <w:pStyle w:val="Subtitle"/>
      </w:pPr>
      <w:r>
        <w:t>10月9日会议要求落实｜SFTP更新复核｜HMM｜日内因子｜LLM与Jev</w:t>
      </w:r>
    </w:p>
    <w:p>
      <w:r>
        <w:t>输入快照：2026-10-11；行情截止：2026-10-09。交付日期：2026-10-12。用户已确认飞书无需继续核对。</w:t>
      </w:r>
    </w:p>
    <w:p>
      <w:pPr>
        <w:pStyle w:val="Heading2"/>
      </w:pPr>
      <w:r>
        <w:t>本轮得到了什么</w:t>
      </w:r>
    </w:p>
    <w:p>
      <w:r>
        <w:t>完成1、2、5、10、20交易日训练，形成五个完整历史回测同时达到“夏普&gt;1、年化Calmar&gt;2”的探索候选。但5日和20日候选最近一年仍亏损，尚未完成稳定达标模型的验收。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362"/>
        <w:gridCol w:w="1750"/>
        <w:gridCol w:w="1750"/>
        <w:gridCol w:w="1750"/>
        <w:gridCol w:w="1748"/>
      </w:tblGrid>
      <w:tr>
        <w:trPr>
          <w:cantSplit/>
          <w:tblHeader/>
        </w:trPr>
        <w:tc>
          <w:tcPr>
            <w:tcW w:type="dxa" w:w="236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预测 / 持有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年化收益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夏普¹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Calmar</w:t>
            </w:r>
          </w:p>
        </w:tc>
        <w:tc>
          <w:tcPr>
            <w:tcW w:type="dxa" w:w="17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最大回撤</w:t>
            </w:r>
          </w:p>
        </w:tc>
      </w:tr>
      <w:tr>
        <w:trPr>
          <w:cantSplit/>
        </w:trPr>
        <w:tc>
          <w:tcPr>
            <w:tcW w:type="dxa" w:w="236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1日 / 1日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13.42%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1.45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2.16</w:t>
            </w:r>
          </w:p>
        </w:tc>
        <w:tc>
          <w:tcPr>
            <w:tcW w:type="dxa" w:w="17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6.20%</w:t>
            </w:r>
          </w:p>
        </w:tc>
      </w:tr>
      <w:tr>
        <w:trPr>
          <w:cantSplit/>
        </w:trPr>
        <w:tc>
          <w:tcPr>
            <w:tcW w:type="dxa" w:w="236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2日 / 2日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15.16%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1.48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2.20</w:t>
            </w:r>
          </w:p>
        </w:tc>
        <w:tc>
          <w:tcPr>
            <w:tcW w:type="dxa" w:w="17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6.88%</w:t>
            </w:r>
          </w:p>
        </w:tc>
      </w:tr>
      <w:tr>
        <w:trPr>
          <w:cantSplit/>
        </w:trPr>
        <w:tc>
          <w:tcPr>
            <w:tcW w:type="dxa" w:w="236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5日 / 5日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12.06%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1.46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2.30</w:t>
            </w:r>
          </w:p>
        </w:tc>
        <w:tc>
          <w:tcPr>
            <w:tcW w:type="dxa" w:w="17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5.25%</w:t>
            </w:r>
          </w:p>
        </w:tc>
      </w:tr>
      <w:tr>
        <w:trPr>
          <w:cantSplit/>
        </w:trPr>
        <w:tc>
          <w:tcPr>
            <w:tcW w:type="dxa" w:w="236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10日 / 5日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11.01%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1.30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2.04</w:t>
            </w:r>
          </w:p>
        </w:tc>
        <w:tc>
          <w:tcPr>
            <w:tcW w:type="dxa" w:w="17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5.39%</w:t>
            </w:r>
          </w:p>
        </w:tc>
      </w:tr>
      <w:tr>
        <w:trPr>
          <w:cantSplit/>
        </w:trPr>
        <w:tc>
          <w:tcPr>
            <w:tcW w:type="dxa" w:w="236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20日 / 5日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13.08%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1.56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2.38</w:t>
            </w:r>
          </w:p>
        </w:tc>
        <w:tc>
          <w:tcPr>
            <w:tcW w:type="dxa" w:w="17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5.50%</w:t>
            </w:r>
          </w:p>
        </w:tc>
      </w:tr>
    </w:tbl>
    <w:p>
      <w:pPr>
        <w:pStyle w:val="Caption"/>
        <w:spacing w:after="40" w:line="40" w:lineRule="exact"/>
      </w:pPr>
    </w:p>
    <w:p>
      <w:pPr>
        <w:pStyle w:val="Caption"/>
      </w:pPr>
      <w:r>
        <w:t>¹ 夏普采用年化1.5%无风险收益；账户现金收益记0。完整区间为2024-10-08至2026-10-09，共487个交易日；所有结果扣除每边5bp假定成本。</w:t>
      </w:r>
    </w:p>
    <w:p>
      <w:pPr>
        <w:pStyle w:val="Heading2"/>
      </w:pPr>
      <w:r>
        <w:t>必须和成绩一起看的条件</w:t>
      </w:r>
    </w:p>
    <w:p>
      <w:r>
        <w:t>这些候选经过历史比较后筛选，属于回顾性研究；完全按预定验证规则自动选型的方案没有达到Calmar&gt;2。旧历史也曾在前几轮研究中查看，因此不能称为全新留出集通过。</w:t>
      </w:r>
    </w:p>
    <w:p>
      <w:r>
        <w:t>5日和20日候选收益主要来自早期阶段。最近一年、最近半年均亏损；15bp成本与信号延迟压力通过，也不能弥补近期失效。短窗口月度更新的进一步检验见第08.1节。</w:t>
      </w:r>
    </w:p>
    <w:p>
      <w:r>
        <w:t>较小回撤依赖低仓位。五个候选平均实际持仓约6%—9%；10日与20日最终候选均预测对应远期收益、实际采用5日持有。真实数据发布版本、退市完整性和分红到账时间仍有缺口。</w:t>
      </w:r>
    </w:p>
    <w:p>
      <w:pPr>
        <w:pStyle w:val="Heading1"/>
        <w:pageBreakBefore/>
      </w:pPr>
      <w:r>
        <w:t>01  数据更新、能做的实验与缺口</w:t>
      </w:r>
    </w:p>
    <w:p>
      <w:r>
        <w:t>本轮只读盘点SFTP：120张因子表已更新至10月9日；下载并留存1083个文件，失败0个。与10月8日本地快照比较，1068个同名文件哈希变化、10个新纳入、5个相同。哈希变化不自动等于历史数值被修订，也可能只是新增尾部日期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90"/>
        <w:gridCol w:w="3684"/>
        <w:gridCol w:w="3386"/>
      </w:tblGrid>
      <w:tr>
        <w:trPr>
          <w:cantSplit/>
          <w:tblHeader/>
        </w:trPr>
        <w:tc>
          <w:tcPr>
            <w:tcW w:type="dxa" w:w="2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资料</w:t>
            </w:r>
          </w:p>
        </w:tc>
        <w:tc>
          <w:tcPr>
            <w:tcW w:type="dxa" w:w="36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已核实状态</w:t>
            </w:r>
          </w:p>
        </w:tc>
        <w:tc>
          <w:tcPr>
            <w:tcW w:type="dxa" w:w="33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本轮用途</w:t>
            </w:r>
          </w:p>
        </w:tc>
      </w:tr>
      <w:tr>
        <w:trPr>
          <w:cantSplit/>
        </w:trPr>
        <w:tc>
          <w:tcPr>
            <w:tcW w:type="dxa" w:w="2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北交所日线/复权/基准</w:t>
            </w:r>
          </w:p>
        </w:tc>
        <w:tc>
          <w:tcPr>
            <w:tcW w:type="dxa" w:w="36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新快照到10月9日；350只价格来源</w:t>
            </w:r>
          </w:p>
        </w:tc>
        <w:tc>
          <w:tcPr>
            <w:tcW w:type="dxa" w:w="33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多期限标签、日线成交和基准</w:t>
            </w:r>
          </w:p>
        </w:tc>
      </w:tr>
      <w:tr>
        <w:trPr>
          <w:cantSplit/>
        </w:trPr>
        <w:tc>
          <w:tcPr>
            <w:tcW w:type="dxa" w:w="2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120张逐日因子表</w:t>
            </w:r>
          </w:p>
        </w:tc>
        <w:tc>
          <w:tcPr>
            <w:tcW w:type="dxa" w:w="36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目录最新日期10月9日</w:t>
            </w:r>
          </w:p>
        </w:tc>
        <w:tc>
          <w:tcPr>
            <w:tcW w:type="dxa" w:w="33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更新c01/c02等表，335项候选输入</w:t>
            </w:r>
          </w:p>
        </w:tc>
      </w:tr>
      <w:tr>
        <w:trPr>
          <w:cantSplit/>
        </w:trPr>
        <w:tc>
          <w:tcPr>
            <w:tcW w:type="dxa" w:w="2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北交所分钟与清洗Tick</w:t>
            </w:r>
          </w:p>
        </w:tc>
        <w:tc>
          <w:tcPr>
            <w:tcW w:type="dxa" w:w="36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1184个日期文件，最新9月30日</w:t>
            </w:r>
          </w:p>
        </w:tc>
        <w:tc>
          <w:tcPr>
            <w:tcW w:type="dxa" w:w="33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125个本地分钟文件的IC/执行检验</w:t>
            </w:r>
          </w:p>
        </w:tc>
      </w:tr>
      <w:tr>
        <w:trPr>
          <w:cantSplit/>
        </w:trPr>
        <w:tc>
          <w:tcPr>
            <w:tcW w:type="dxa" w:w="2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minute-all.zip</w:t>
            </w:r>
          </w:p>
        </w:tc>
        <w:tc>
          <w:tcPr>
            <w:tcW w:type="dxa" w:w="36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中央目录1184项，也只有BJ</w:t>
            </w:r>
          </w:p>
        </w:tc>
        <w:tc>
          <w:tcPr>
            <w:tcW w:type="dxa" w:w="33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排除压缩包内另藏SH/SZ分钟数据</w:t>
            </w:r>
          </w:p>
        </w:tc>
      </w:tr>
      <w:tr>
        <w:trPr>
          <w:cantSplit/>
        </w:trPr>
        <w:tc>
          <w:tcPr>
            <w:tcW w:type="dxa" w:w="2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沪深旧日线目录</w:t>
            </w:r>
          </w:p>
        </w:tc>
        <w:tc>
          <w:tcPr>
            <w:tcW w:type="dxa" w:w="36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三个复权目录各5868项；样本内容到8月21日</w:t>
            </w:r>
          </w:p>
        </w:tc>
        <w:tc>
          <w:tcPr>
            <w:tcW w:type="dxa" w:w="33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复用已有496只样本长期检验</w:t>
            </w:r>
          </w:p>
        </w:tc>
      </w:tr>
      <w:tr>
        <w:trPr>
          <w:cantSplit/>
        </w:trPr>
        <w:tc>
          <w:tcPr>
            <w:tcW w:type="dxa" w:w="22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factor_lib</w:t>
            </w:r>
          </w:p>
        </w:tc>
        <w:tc>
          <w:tcPr>
            <w:tcW w:type="dxa" w:w="36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抽样Alpha001、0_1到9月30日</w:t>
            </w:r>
          </w:p>
        </w:tc>
        <w:tc>
          <w:tcPr>
            <w:tcW w:type="dxa" w:w="338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不把因子最新日误当行情最新日</w:t>
            </w:r>
          </w:p>
        </w:tc>
      </w:tr>
    </w:tbl>
    <w:p>
      <w:pPr>
        <w:pStyle w:val="Caption"/>
        <w:spacing w:after="40" w:line="40" w:lineRule="exact"/>
      </w:pPr>
    </w:p>
    <w:p>
      <w:r>
        <w:t>交易所公告确认2026年10月8日恢复交易。因此10月8、9日分钟文件属于有效交易日缺口。原始Tick压缩包文件名可到10月2日，但该日休市，未把它当作新增可交易数据。</w:t>
      </w:r>
    </w:p>
    <w:p>
      <w:r>
        <w:t>逐个日期/路径的已识别缺口共7329项，见 missing_files.csv。该清单按各目录首次可用日期起与日历比对，包含文件日期缺失及不可用目录；不代表每个缺口对本轮模型都有影响。</w:t>
      </w:r>
    </w:p>
    <w:p>
      <w:r>
        <w:t>优先补：BJ 10月8/9日分钟数据、SH/SZ分钟目录和8月21日后的活跃样本行情、历史证券主表/退市/ST/涨跌停字段、因子发布时点与历史版本、分红实际到账及送转可卖日、带版本时间的财报新闻与人工标签。完整字段要求见 missing_fields_and_documents.csv。</w:t>
      </w:r>
    </w:p>
    <w:p>
      <w:pPr>
        <w:pStyle w:val="Heading1"/>
        <w:pageBreakBefore/>
      </w:pPr>
      <w:r>
        <w:t>02  项目从输入到明日持仓如何运行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946"/>
        <w:gridCol w:w="7414"/>
      </w:tblGrid>
      <w:tr>
        <w:trPr>
          <w:cantSplit/>
          <w:tblHeader/>
        </w:trPr>
        <w:tc>
          <w:tcPr>
            <w:tcW w:type="dxa" w:w="19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环节</w:t>
            </w:r>
          </w:p>
        </w:tc>
        <w:tc>
          <w:tcPr>
            <w:tcW w:type="dxa" w:w="74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明确规则</w:t>
            </w:r>
          </w:p>
        </w:tc>
      </w:tr>
      <w:tr>
        <w:trPr>
          <w:cantSplit/>
        </w:trPr>
        <w:tc>
          <w:tcPr>
            <w:tcW w:type="dxa" w:w="19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数据快照</w:t>
            </w:r>
          </w:p>
        </w:tc>
        <w:tc>
          <w:tcPr>
            <w:tcW w:type="dxa" w:w="74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原文件+远端元信息+SHA256；保留此前实验，不覆盖成同一口径</w:t>
            </w:r>
          </w:p>
        </w:tc>
      </w:tr>
      <w:tr>
        <w:trPr>
          <w:cantSplit/>
        </w:trPr>
        <w:tc>
          <w:tcPr>
            <w:tcW w:type="dxa" w:w="19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每日股票池</w:t>
            </w:r>
          </w:p>
        </w:tc>
        <w:tc>
          <w:tcPr>
            <w:tcW w:type="dxa" w:w="74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过去20日平均成交额Top100；至少60个有效历史日，近20日至少16日有效成交</w:t>
            </w:r>
          </w:p>
        </w:tc>
      </w:tr>
      <w:tr>
        <w:trPr>
          <w:cantSplit/>
        </w:trPr>
        <w:tc>
          <w:tcPr>
            <w:tcW w:type="dxa" w:w="19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收盘特征</w:t>
            </w:r>
          </w:p>
        </w:tc>
        <w:tc>
          <w:tcPr>
            <w:tcW w:type="dxa" w:w="74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同日截面排名转为[-0.5,0.5]附近；缺值填中性0；供应商发布时间仍是假设</w:t>
            </w:r>
          </w:p>
        </w:tc>
      </w:tr>
      <w:tr>
        <w:trPr>
          <w:cantSplit/>
        </w:trPr>
        <w:tc>
          <w:tcPr>
            <w:tcW w:type="dxa" w:w="19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季度模型</w:t>
            </w:r>
          </w:p>
        </w:tc>
        <w:tc>
          <w:tcPr>
            <w:tcW w:type="dxa" w:w="74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训练504交易日、验证126日；按标签终点剔除跨边界样本；季度开始前重训</w:t>
            </w:r>
          </w:p>
        </w:tc>
      </w:tr>
      <w:tr>
        <w:trPr>
          <w:cantSplit/>
        </w:trPr>
        <w:tc>
          <w:tcPr>
            <w:tcW w:type="dxa" w:w="19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月度状态</w:t>
            </w:r>
          </w:p>
        </w:tc>
        <w:tc>
          <w:tcPr>
            <w:tcW w:type="dxa" w:w="74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过去504日拟合HMM；当日收盘递推滤波，输出次日状态概率和仓位上限</w:t>
            </w:r>
          </w:p>
        </w:tc>
      </w:tr>
      <w:tr>
        <w:trPr>
          <w:cantSplit/>
        </w:trPr>
        <w:tc>
          <w:tcPr>
            <w:tcW w:type="dxa" w:w="19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次日执行</w:t>
            </w:r>
          </w:p>
        </w:tc>
        <w:tc>
          <w:tcPr>
            <w:tcW w:type="dxa" w:w="74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用前一收盘信号；未复权价格成交；现金、股数、成本与延期卖出连续记录</w:t>
            </w:r>
          </w:p>
        </w:tc>
      </w:tr>
      <w:tr>
        <w:trPr>
          <w:cantSplit/>
        </w:trPr>
        <w:tc>
          <w:tcPr>
            <w:tcW w:type="dxa" w:w="19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验收</w:t>
            </w:r>
          </w:p>
        </w:tc>
        <w:tc>
          <w:tcPr>
            <w:tcW w:type="dxa" w:w="74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保留全部固定方案、自动选择、事后优化结果，分别报告</w:t>
            </w:r>
          </w:p>
        </w:tc>
      </w:tr>
    </w:tbl>
    <w:p>
      <w:pPr>
        <w:pStyle w:val="Caption"/>
        <w:spacing w:after="40" w:line="40" w:lineRule="exact"/>
      </w:pPr>
    </w:p>
    <w:p>
      <w:pPr>
        <w:pStyle w:val="Heading2"/>
      </w:pPr>
      <w:r>
        <w:t>预测标签与持有周期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72"/>
        <w:gridCol w:w="4867"/>
        <w:gridCol w:w="2621"/>
      </w:tblGrid>
      <w:tr>
        <w:trPr>
          <w:cantSplit/>
          <w:tblHeader/>
        </w:trP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预测期限</w:t>
            </w:r>
          </w:p>
        </w:tc>
        <w:tc>
          <w:tcPr>
            <w:tcW w:type="dxa" w:w="486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标签定义</w:t>
            </w:r>
          </w:p>
        </w:tc>
        <w:tc>
          <w:tcPr>
            <w:tcW w:type="dxa" w:w="262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本轮最终候选持有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1日</w:t>
            </w:r>
          </w:p>
        </w:tc>
        <w:tc>
          <w:tcPr>
            <w:tcW w:type="dxa" w:w="486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t+1开盘→t+2开盘</w:t>
            </w:r>
          </w:p>
        </w:tc>
        <w:tc>
          <w:tcPr>
            <w:tcW w:type="dxa" w:w="262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1日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2日</w:t>
            </w:r>
          </w:p>
        </w:tc>
        <w:tc>
          <w:tcPr>
            <w:tcW w:type="dxa" w:w="486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t+1开盘→t+2收盘</w:t>
            </w:r>
          </w:p>
        </w:tc>
        <w:tc>
          <w:tcPr>
            <w:tcW w:type="dxa" w:w="262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2日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5日</w:t>
            </w:r>
          </w:p>
        </w:tc>
        <w:tc>
          <w:tcPr>
            <w:tcW w:type="dxa" w:w="486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t+1开盘→t+5收盘</w:t>
            </w:r>
          </w:p>
        </w:tc>
        <w:tc>
          <w:tcPr>
            <w:tcW w:type="dxa" w:w="262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5日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10日</w:t>
            </w:r>
          </w:p>
        </w:tc>
        <w:tc>
          <w:tcPr>
            <w:tcW w:type="dxa" w:w="486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t+1开盘→t+10收盘</w:t>
            </w:r>
          </w:p>
        </w:tc>
        <w:tc>
          <w:tcPr>
            <w:tcW w:type="dxa" w:w="262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5日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20日</w:t>
            </w:r>
          </w:p>
        </w:tc>
        <w:tc>
          <w:tcPr>
            <w:tcW w:type="dxa" w:w="486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t+1开盘→t+20收盘</w:t>
            </w:r>
          </w:p>
        </w:tc>
        <w:tc>
          <w:tcPr>
            <w:tcW w:type="dxa" w:w="262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5日</w:t>
            </w:r>
          </w:p>
        </w:tc>
      </w:tr>
    </w:tbl>
    <w:p>
      <w:pPr>
        <w:pStyle w:val="Caption"/>
        <w:spacing w:after="40" w:line="40" w:lineRule="exact"/>
      </w:pPr>
    </w:p>
    <w:p>
      <w:r>
        <w:t>1日期限采用跨交易日开盘收益，避免A股当日买入又卖出。其他标签使用后复权价格消除拆分/分红造成的机械跳变；账本仍按未复权价格成交。20日预测、5日执行表示模型学习20日相对收益，组合每批5日退出并用更新信号再配置；并未把5日标签改名为20日标签。</w:t>
      </w:r>
    </w:p>
    <w:p>
      <w:r>
        <w:t>股票池每天更新；因子筛选和监督模型每季度更新；HMM每月更新。这三种频率不同，任何一项变动都不能重置总资金。</w:t>
      </w:r>
    </w:p>
    <w:p>
      <w:pPr>
        <w:pStyle w:val="Heading1"/>
        <w:pageBreakBefore/>
      </w:pPr>
      <w:r>
        <w:t>03  因子：来源、含义与筛选数学</w:t>
      </w:r>
    </w:p>
    <w:p>
      <w:r>
        <w:t>输入共335项：供应商Alpha101/191共292项、19项本地价量特征、24项LLM提出的可执行算术表达式。factor_catalog.csv逐项列出来源、公式或原始字段、说明和可用时点假设。编号本身不表示经济效应。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019"/>
        <w:gridCol w:w="4496"/>
        <w:gridCol w:w="2845"/>
      </w:tblGrid>
      <w:tr>
        <w:trPr>
          <w:cantSplit/>
          <w:tblHeader/>
        </w:trPr>
        <w:tc>
          <w:tcPr>
            <w:tcW w:type="dxa" w:w="2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例子</w:t>
            </w:r>
          </w:p>
        </w:tc>
        <w:tc>
          <w:tcPr>
            <w:tcW w:type="dxa" w:w="44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公式 / 含义</w:t>
            </w:r>
          </w:p>
        </w:tc>
        <w:tc>
          <w:tcPr>
            <w:tcW w:type="dxa" w:w="284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训练中如何用</w:t>
            </w:r>
          </w:p>
        </w:tc>
      </w:tr>
      <w:tr>
        <w:trPr>
          <w:cantSplit/>
        </w:trPr>
        <w:tc>
          <w:tcPr>
            <w:tcW w:type="dxa" w:w="2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gtalpha046</w:t>
            </w:r>
          </w:p>
        </w:tc>
        <w:tc>
          <w:tcPr>
            <w:tcW w:type="dxa" w:w="44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(MA3+MA6+MA12+MA24)/(4×收盘价)：均线相对当前价</w:t>
            </w:r>
          </w:p>
        </w:tc>
        <w:tc>
          <w:tcPr>
            <w:tcW w:type="dxa" w:w="284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正IC常对应近期回落的反转信号</w:t>
            </w:r>
          </w:p>
        </w:tc>
      </w:tr>
      <w:tr>
        <w:trPr>
          <w:cantSplit/>
        </w:trPr>
        <w:tc>
          <w:tcPr>
            <w:tcW w:type="dxa" w:w="2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gtalpha063</w:t>
            </w:r>
          </w:p>
        </w:tc>
        <w:tc>
          <w:tcPr>
            <w:tcW w:type="dxa" w:w="44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6期平滑上涨幅度/绝对变动幅度×100</w:t>
            </w:r>
          </w:p>
        </w:tc>
        <w:tc>
          <w:tcPr>
            <w:tcW w:type="dxa" w:w="284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RSI类短期强弱；可出现负IC</w:t>
            </w:r>
          </w:p>
        </w:tc>
      </w:tr>
      <w:tr>
        <w:trPr>
          <w:cantSplit/>
        </w:trPr>
        <w:tc>
          <w:tcPr>
            <w:tcW w:type="dxa" w:w="2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gtalpha067</w:t>
            </w:r>
          </w:p>
        </w:tc>
        <w:tc>
          <w:tcPr>
            <w:tcW w:type="dxa" w:w="44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上述比率改为24期平滑</w:t>
            </w:r>
          </w:p>
        </w:tc>
        <w:tc>
          <w:tcPr>
            <w:tcW w:type="dxa" w:w="284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中期强弱；与其他因子去重</w:t>
            </w:r>
          </w:p>
        </w:tc>
      </w:tr>
      <w:tr>
        <w:trPr>
          <w:cantSplit/>
        </w:trPr>
        <w:tc>
          <w:tcPr>
            <w:tcW w:type="dxa" w:w="2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gtalpha071</w:t>
            </w:r>
          </w:p>
        </w:tc>
        <w:tc>
          <w:tcPr>
            <w:tcW w:type="dxa" w:w="44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(收盘价-MA24)/MA24×100</w:t>
            </w:r>
          </w:p>
        </w:tc>
        <w:tc>
          <w:tcPr>
            <w:tcW w:type="dxa" w:w="284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价格相对均线偏离</w:t>
            </w:r>
          </w:p>
        </w:tc>
      </w:tr>
      <w:tr>
        <w:trPr>
          <w:cantSplit/>
        </w:trPr>
        <w:tc>
          <w:tcPr>
            <w:tcW w:type="dxa" w:w="2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LLM风险调整动量</w:t>
            </w:r>
          </w:p>
        </w:tc>
        <w:tc>
          <w:tcPr>
            <w:tcW w:type="dxa" w:w="44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mom20/(vol20+0.001)</w:t>
            </w:r>
          </w:p>
        </w:tc>
        <w:tc>
          <w:tcPr>
            <w:tcW w:type="dxa" w:w="284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假说为风险调整趋势；需要实测</w:t>
            </w:r>
          </w:p>
        </w:tc>
      </w:tr>
    </w:tbl>
    <w:p>
      <w:pPr>
        <w:pStyle w:val="Caption"/>
        <w:spacing w:after="40" w:line="40" w:lineRule="exact"/>
      </w:pPr>
    </w:p>
    <w:p>
      <w:r>
        <w:t>每个训练日先计算因子截面排名与未来收益截面排名的Pearson相关，即Spearman RankIC。对训练日逐日IC取等权均值；只接受覆盖率≥70%的候选，按平均IC绝对值排序，再剔除与已入选项训练内相关绝对值≥0.92的冗余项。最终模型使用前60或100项。</w:t>
      </w:r>
    </w:p>
    <w:p>
      <w:r>
        <w:t>负IC不直接丢弃：IC组合使用带符号的平均IC权重，并归一化绝对权重之和；Ridge和树模型从训练样本学习方向。供应商因子做同日截面排名，但原始文件历史发布时点未验证，所以另做整个评分延迟一日的压力检验。</w:t>
      </w:r>
    </w:p>
    <w:p>
      <w:r>
        <w:t>例：2025Q4的5日训练卡片中，gtalpha046平均IC约+0.145，gtalpha063约−0.138，gtalpha067约−0.137。数字只来自该折训练，不能当作未来固定有效性。所有季度卡片保留，避免只展示效果好的因子。</w:t>
      </w:r>
    </w:p>
    <w:p>
      <w:pPr>
        <w:pStyle w:val="Heading1"/>
        <w:pageBreakBefore/>
      </w:pPr>
      <w:r>
        <w:t>04  模型训练、验证与选择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808"/>
        <w:gridCol w:w="6552"/>
      </w:tblGrid>
      <w:tr>
        <w:trPr>
          <w:cantSplit/>
          <w:tblHeader/>
        </w:trPr>
        <w:tc>
          <w:tcPr>
            <w:tcW w:type="dxa" w:w="28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模型</w:t>
            </w:r>
          </w:p>
        </w:tc>
        <w:tc>
          <w:tcPr>
            <w:tcW w:type="dxa" w:w="65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本轮设定及作用</w:t>
            </w:r>
          </w:p>
        </w:tc>
      </w:tr>
      <w:tr>
        <w:trPr>
          <w:cantSplit/>
        </w:trPr>
        <w:tc>
          <w:tcPr>
            <w:tcW w:type="dxa" w:w="28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Ridge60</w:t>
            </w:r>
          </w:p>
        </w:tc>
        <w:tc>
          <w:tcPr>
            <w:tcW w:type="dxa" w:w="65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60项、L2强正则，线性可解释基线</w:t>
            </w:r>
          </w:p>
        </w:tc>
      </w:tr>
      <w:tr>
        <w:trPr>
          <w:cantSplit/>
        </w:trPr>
        <w:tc>
          <w:tcPr>
            <w:tcW w:type="dxa" w:w="28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LightGBM100</w:t>
            </w:r>
          </w:p>
        </w:tc>
        <w:tc>
          <w:tcPr>
            <w:tcW w:type="dxa" w:w="65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100项、浅树、小学习率、叶子样本与L2限制</w:t>
            </w:r>
          </w:p>
        </w:tc>
      </w:tr>
      <w:tr>
        <w:trPr>
          <w:cantSplit/>
        </w:trPr>
        <w:tc>
          <w:tcPr>
            <w:tcW w:type="dxa" w:w="28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LambdaRank60</w:t>
            </w:r>
          </w:p>
        </w:tc>
        <w:tc>
          <w:tcPr>
            <w:tcW w:type="dxa" w:w="65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收益截面分档，按交易日分组学习排序</w:t>
            </w:r>
          </w:p>
        </w:tc>
      </w:tr>
      <w:tr>
        <w:trPr>
          <w:cantSplit/>
        </w:trPr>
        <w:tc>
          <w:tcPr>
            <w:tcW w:type="dxa" w:w="28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CatBoost60 / XGBoost60</w:t>
            </w:r>
          </w:p>
        </w:tc>
        <w:tc>
          <w:tcPr>
            <w:tcW w:type="dxa" w:w="65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两类提升树，检验对模型实现的依赖</w:t>
            </w:r>
          </w:p>
        </w:tc>
      </w:tr>
      <w:tr>
        <w:trPr>
          <w:cantSplit/>
        </w:trPr>
        <w:tc>
          <w:tcPr>
            <w:tcW w:type="dxa" w:w="28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ExtraTrees60</w:t>
            </w:r>
          </w:p>
        </w:tc>
        <w:tc>
          <w:tcPr>
            <w:tcW w:type="dxa" w:w="65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随机树集成、限制深度和叶子样本</w:t>
            </w:r>
          </w:p>
        </w:tc>
      </w:tr>
      <w:tr>
        <w:trPr>
          <w:cantSplit/>
        </w:trPr>
        <w:tc>
          <w:tcPr>
            <w:tcW w:type="dxa" w:w="28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LLM-only Ridge</w:t>
            </w:r>
          </w:p>
        </w:tc>
        <w:tc>
          <w:tcPr>
            <w:tcW w:type="dxa" w:w="65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只用24个LLM提案，单独检验有无增益</w:t>
            </w:r>
          </w:p>
        </w:tc>
      </w:tr>
      <w:tr>
        <w:trPr>
          <w:cantSplit/>
        </w:trPr>
        <w:tc>
          <w:tcPr>
            <w:tcW w:type="dxa" w:w="28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IC / conditional IC</w:t>
            </w:r>
          </w:p>
        </w:tc>
        <w:tc>
          <w:tcPr>
            <w:tcW w:type="dxa" w:w="65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带符号IC组合；三状态概率加权的条件因子权重</w:t>
            </w:r>
          </w:p>
        </w:tc>
      </w:tr>
      <w:tr>
        <w:trPr>
          <w:cantSplit/>
        </w:trPr>
        <w:tc>
          <w:tcPr>
            <w:tcW w:type="dxa" w:w="28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Ensemble</w:t>
            </w:r>
          </w:p>
        </w:tc>
        <w:tc>
          <w:tcPr>
            <w:tcW w:type="dxa" w:w="65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Ridge、LightGBM、CatBoost、XGBoost截面排名均值</w:t>
            </w:r>
          </w:p>
        </w:tc>
      </w:tr>
    </w:tbl>
    <w:p>
      <w:pPr>
        <w:pStyle w:val="Caption"/>
        <w:spacing w:after="40" w:line="40" w:lineRule="exact"/>
      </w:pPr>
    </w:p>
    <w:p>
      <w:r>
        <w:t>每个预测期限覆盖2024Q4—2026Q4共9个季度预测块，最后一块只有10月8/9日。验证先按逐日RankIC保留三个候选模型，再检验Top10/20及15种风险规则；目标为max min(验证夏普、验证Calmar/2)。验证结束后用最近504日已成熟标签重训。最后几日未成熟标签不参与IC，仍可以产生交易评分并在期末计入未平仓市值。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72"/>
        <w:gridCol w:w="2995"/>
        <w:gridCol w:w="1872"/>
        <w:gridCol w:w="2621"/>
      </w:tblGrid>
      <w:tr>
        <w:trPr>
          <w:cantSplit/>
          <w:tblHeader/>
        </w:trP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期限</w:t>
            </w:r>
          </w:p>
        </w:tc>
        <w:tc>
          <w:tcPr>
            <w:tcW w:type="dxa" w:w="29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预定验证选择夏普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Calmar</w:t>
            </w:r>
          </w:p>
        </w:tc>
        <w:tc>
          <w:tcPr>
            <w:tcW w:type="dxa" w:w="262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最大回撤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1日</w:t>
            </w:r>
          </w:p>
        </w:tc>
        <w:tc>
          <w:tcPr>
            <w:tcW w:type="dxa" w:w="29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1.06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1.04</w:t>
            </w:r>
          </w:p>
        </w:tc>
        <w:tc>
          <w:tcPr>
            <w:tcW w:type="dxa" w:w="262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28.00%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2日</w:t>
            </w:r>
          </w:p>
        </w:tc>
        <w:tc>
          <w:tcPr>
            <w:tcW w:type="dxa" w:w="29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1.24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1.41</w:t>
            </w:r>
          </w:p>
        </w:tc>
        <w:tc>
          <w:tcPr>
            <w:tcW w:type="dxa" w:w="262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24.60%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5日</w:t>
            </w:r>
          </w:p>
        </w:tc>
        <w:tc>
          <w:tcPr>
            <w:tcW w:type="dxa" w:w="29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1.03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0.94</w:t>
            </w:r>
          </w:p>
        </w:tc>
        <w:tc>
          <w:tcPr>
            <w:tcW w:type="dxa" w:w="262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23.87%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10日</w:t>
            </w:r>
          </w:p>
        </w:tc>
        <w:tc>
          <w:tcPr>
            <w:tcW w:type="dxa" w:w="29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0.51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0.44</w:t>
            </w:r>
          </w:p>
        </w:tc>
        <w:tc>
          <w:tcPr>
            <w:tcW w:type="dxa" w:w="262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22.75%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20日</w:t>
            </w:r>
          </w:p>
        </w:tc>
        <w:tc>
          <w:tcPr>
            <w:tcW w:type="dxa" w:w="29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0.23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0.24</w:t>
            </w:r>
          </w:p>
        </w:tc>
        <w:tc>
          <w:tcPr>
            <w:tcW w:type="dxa" w:w="262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14.78%</w:t>
            </w:r>
          </w:p>
        </w:tc>
      </w:tr>
    </w:tbl>
    <w:p>
      <w:pPr>
        <w:pStyle w:val="Caption"/>
        <w:spacing w:after="40" w:line="40" w:lineRule="exact"/>
      </w:pPr>
    </w:p>
    <w:p>
      <w:r>
        <w:t>上表为截至2026Q3的预定选择方案；没有一个通过本次双门槛。候选成绩更高，来自后续固定方案对照和风险研究，必须保留“事后筛选”标签。共500组固定外层对照、540组风险缩放/保护对照和216组长期预测执行扩展，另有各折验证网格；大量尝试增加选择偏差。</w:t>
      </w:r>
    </w:p>
    <w:p>
      <w:pPr>
        <w:pStyle w:val="Heading1"/>
        <w:pageBreakBefore/>
      </w:pPr>
      <w:r>
        <w:t>05  资金账本、费用与风险规则</w:t>
      </w:r>
    </w:p>
    <w:p>
      <w:r>
        <w:t>初始100万元。每个交易日按前一日信号新建批次，原始默认新批次不超过净值/持有天数；再受现金、总仓位和单股上限限制。任何季度都不重新发放资金。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059"/>
        <w:gridCol w:w="7301"/>
      </w:tblGrid>
      <w:tr>
        <w:trPr>
          <w:cantSplit/>
          <w:tblHeader/>
        </w:trPr>
        <w:tc>
          <w:tcPr>
            <w:tcW w:type="dxa" w:w="205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约束</w:t>
            </w:r>
          </w:p>
        </w:tc>
        <w:tc>
          <w:tcPr>
            <w:tcW w:type="dxa" w:w="73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实际实现</w:t>
            </w:r>
          </w:p>
        </w:tc>
      </w:tr>
      <w:tr>
        <w:trPr>
          <w:cantSplit/>
        </w:trPr>
        <w:tc>
          <w:tcPr>
            <w:tcW w:type="dxa" w:w="205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T+1</w:t>
            </w:r>
          </w:p>
        </w:tc>
        <w:tc>
          <w:tcPr>
            <w:tcW w:type="dxa" w:w="73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逐批记录入场日，卖出必须晚于入场日；1日策略先在次日开盘平上一批</w:t>
            </w:r>
          </w:p>
        </w:tc>
      </w:tr>
      <w:tr>
        <w:trPr>
          <w:cantSplit/>
        </w:trPr>
        <w:tc>
          <w:tcPr>
            <w:tcW w:type="dxa" w:w="205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股数与集中度</w:t>
            </w:r>
          </w:p>
        </w:tc>
        <w:tc>
          <w:tcPr>
            <w:tcW w:type="dxa" w:w="73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初始买入≥100股，整数增量；新买入后单股不超过当时净值10%</w:t>
            </w:r>
          </w:p>
        </w:tc>
      </w:tr>
      <w:tr>
        <w:trPr>
          <w:cantSplit/>
        </w:trPr>
        <w:tc>
          <w:tcPr>
            <w:tcW w:type="dxa" w:w="205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成交容量</w:t>
            </w:r>
          </w:p>
        </w:tc>
        <w:tc>
          <w:tcPr>
            <w:tcW w:type="dxa" w:w="73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单只股票买卖共享过去20日平均成交额1%的日成交金额上限</w:t>
            </w:r>
          </w:p>
        </w:tc>
      </w:tr>
      <w:tr>
        <w:trPr>
          <w:cantSplit/>
        </w:trPr>
        <w:tc>
          <w:tcPr>
            <w:tcW w:type="dxa" w:w="205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买不全/卖不出</w:t>
            </w:r>
          </w:p>
        </w:tc>
        <w:tc>
          <w:tcPr>
            <w:tcW w:type="dxa" w:w="73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缺报价、停牌代理、涨跌停代理、容量不足均保留失败/部分成交；未卖完继续持仓</w:t>
            </w:r>
          </w:p>
        </w:tc>
      </w:tr>
      <w:tr>
        <w:trPr>
          <w:cantSplit/>
        </w:trPr>
        <w:tc>
          <w:tcPr>
            <w:tcW w:type="dxa" w:w="205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费用</w:t>
            </w:r>
          </w:p>
        </w:tc>
        <w:tc>
          <w:tcPr>
            <w:tcW w:type="dxa" w:w="73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买卖每边5bp总成本研究假设；另列0/1/2/15bp，不把假设称为券商账单</w:t>
            </w:r>
          </w:p>
        </w:tc>
      </w:tr>
      <w:tr>
        <w:trPr>
          <w:cantSplit/>
        </w:trPr>
        <w:tc>
          <w:tcPr>
            <w:tcW w:type="dxa" w:w="205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风险上限</w:t>
            </w:r>
          </w:p>
        </w:tc>
        <w:tc>
          <w:tcPr>
            <w:tcW w:type="dxa" w:w="73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固定仓位、12%/20%波动目标、趋势、HMM防守/增长、回撤和CPPI；只读此前信息</w:t>
            </w:r>
          </w:p>
        </w:tc>
      </w:tr>
      <w:tr>
        <w:trPr>
          <w:cantSplit/>
        </w:trPr>
        <w:tc>
          <w:tcPr>
            <w:tcW w:type="dxa" w:w="205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分红与期末</w:t>
            </w:r>
          </w:p>
        </w:tc>
        <w:tc>
          <w:tcPr>
            <w:tcW w:type="dxa" w:w="73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除权日即时税前现金及送转股可卖情景；最后一天继续正常开仓，未到期持股按市值记账</w:t>
            </w:r>
          </w:p>
        </w:tc>
      </w:tr>
    </w:tbl>
    <w:p>
      <w:pPr>
        <w:pStyle w:val="Caption"/>
        <w:spacing w:after="40" w:line="40" w:lineRule="exact"/>
      </w:pPr>
    </w:p>
    <w:p>
      <w:r>
        <w:t>年化收益=(期末净值/初始资金)^(365.25/实际日数)−1；夏普=日超额收益均值/日收益标准差×√252；Calmar=年化收益/最大回撤。最大回撤的峰值包含初始100万元。会议举例使用过“累计收益/回撤”，报告另存该比率，验收表统一使用更规范的年化口径。</w:t>
      </w:r>
    </w:p>
    <w:p>
      <w:r>
        <w:t>9项合成测试覆盖T+1、现金恒等式、共用容量、缺失行情、拆股、初始资金回撤、时间因果性、HMM前向滤波、DSL与Jev接口。真实结果另检查5个期限的资金恒等式、无同日卖出、容量、预测唯一性和45折训练标签边界。</w:t>
      </w:r>
    </w:p>
    <w:p>
      <w:pPr>
        <w:pStyle w:val="Heading1"/>
        <w:pageBreakBefore/>
      </w:pPr>
      <w:r>
        <w:t>06  五个候选的连续净值和资金利用</w:t>
      </w:r>
    </w:p>
    <w:p>
      <w:r>
        <w:drawing>
          <wp:inline xmlns:a="http://schemas.openxmlformats.org/drawingml/2006/main" xmlns:pic="http://schemas.openxmlformats.org/drawingml/2006/picture">
            <wp:extent cx="5852160" cy="36413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_nav_drawdow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41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全部曲线都含现金和费用。历史筛选候选；未声称全新留出集通过。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101"/>
        <w:gridCol w:w="4129"/>
        <w:gridCol w:w="1193"/>
        <w:gridCol w:w="1468"/>
        <w:gridCol w:w="1469"/>
      </w:tblGrid>
      <w:tr>
        <w:trPr>
          <w:cantSplit/>
          <w:tblHeader/>
        </w:trPr>
        <w:tc>
          <w:tcPr>
            <w:tcW w:type="dxa" w:w="11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8"/>
              </w:rPr>
              <w:t>期限</w:t>
            </w:r>
          </w:p>
        </w:tc>
        <w:tc>
          <w:tcPr>
            <w:tcW w:type="dxa" w:w="41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8"/>
              </w:rPr>
              <w:t>评分 / HMM</w:t>
            </w:r>
          </w:p>
        </w:tc>
        <w:tc>
          <w:tcPr>
            <w:tcW w:type="dxa" w:w="119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8"/>
              </w:rPr>
              <w:t>风险缩放</w:t>
            </w:r>
          </w:p>
        </w:tc>
        <w:tc>
          <w:tcPr>
            <w:tcW w:type="dxa" w:w="14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8"/>
              </w:rPr>
              <w:t>平均持仓</w:t>
            </w:r>
          </w:p>
        </w:tc>
        <w:tc>
          <w:tcPr>
            <w:tcW w:type="dxa" w:w="146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8"/>
              </w:rPr>
              <w:t>近空仓日</w:t>
            </w:r>
          </w:p>
        </w:tc>
      </w:tr>
      <w:tr>
        <w:trPr>
          <w:cantSplit/>
        </w:trPr>
        <w:tc>
          <w:tcPr>
            <w:tcW w:type="dxa" w:w="11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1日</w:t>
            </w:r>
          </w:p>
        </w:tc>
        <w:tc>
          <w:tcPr>
            <w:tcW w:type="dxa" w:w="41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ridge60 / hmm3_defensive</w:t>
            </w:r>
          </w:p>
        </w:tc>
        <w:tc>
          <w:tcPr>
            <w:tcW w:type="dxa" w:w="119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0.25</w:t>
            </w:r>
          </w:p>
        </w:tc>
        <w:tc>
          <w:tcPr>
            <w:tcW w:type="dxa" w:w="14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8.77%</w:t>
            </w:r>
          </w:p>
        </w:tc>
        <w:tc>
          <w:tcPr>
            <w:tcW w:type="dxa" w:w="146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26.69%</w:t>
            </w:r>
          </w:p>
        </w:tc>
      </w:tr>
      <w:tr>
        <w:trPr>
          <w:cantSplit/>
        </w:trPr>
        <w:tc>
          <w:tcPr>
            <w:tcW w:type="dxa" w:w="11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2日</w:t>
            </w:r>
          </w:p>
        </w:tc>
        <w:tc>
          <w:tcPr>
            <w:tcW w:type="dxa" w:w="41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ic / hmm2_defensive</w:t>
            </w:r>
          </w:p>
        </w:tc>
        <w:tc>
          <w:tcPr>
            <w:tcW w:type="dxa" w:w="119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0.25</w:t>
            </w:r>
          </w:p>
        </w:tc>
        <w:tc>
          <w:tcPr>
            <w:tcW w:type="dxa" w:w="14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6.16%</w:t>
            </w:r>
          </w:p>
        </w:tc>
        <w:tc>
          <w:tcPr>
            <w:tcW w:type="dxa" w:w="146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66.53%</w:t>
            </w:r>
          </w:p>
        </w:tc>
      </w:tr>
      <w:tr>
        <w:trPr>
          <w:cantSplit/>
        </w:trPr>
        <w:tc>
          <w:tcPr>
            <w:tcW w:type="dxa" w:w="11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5日</w:t>
            </w:r>
          </w:p>
        </w:tc>
        <w:tc>
          <w:tcPr>
            <w:tcW w:type="dxa" w:w="41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ic / hmm3_growth</w:t>
            </w:r>
          </w:p>
        </w:tc>
        <w:tc>
          <w:tcPr>
            <w:tcW w:type="dxa" w:w="119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0.25</w:t>
            </w:r>
          </w:p>
        </w:tc>
        <w:tc>
          <w:tcPr>
            <w:tcW w:type="dxa" w:w="14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7.01%</w:t>
            </w:r>
          </w:p>
        </w:tc>
        <w:tc>
          <w:tcPr>
            <w:tcW w:type="dxa" w:w="146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30.80%</w:t>
            </w:r>
          </w:p>
        </w:tc>
      </w:tr>
      <w:tr>
        <w:trPr>
          <w:cantSplit/>
        </w:trPr>
        <w:tc>
          <w:tcPr>
            <w:tcW w:type="dxa" w:w="11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10日</w:t>
            </w:r>
          </w:p>
        </w:tc>
        <w:tc>
          <w:tcPr>
            <w:tcW w:type="dxa" w:w="41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ridge60 / hmm3_defensive</w:t>
            </w:r>
          </w:p>
        </w:tc>
        <w:tc>
          <w:tcPr>
            <w:tcW w:type="dxa" w:w="119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0.25</w:t>
            </w:r>
          </w:p>
        </w:tc>
        <w:tc>
          <w:tcPr>
            <w:tcW w:type="dxa" w:w="14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7.06%</w:t>
            </w:r>
          </w:p>
        </w:tc>
        <w:tc>
          <w:tcPr>
            <w:tcW w:type="dxa" w:w="146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30.18%</w:t>
            </w:r>
          </w:p>
        </w:tc>
      </w:tr>
      <w:tr>
        <w:trPr>
          <w:cantSplit/>
        </w:trPr>
        <w:tc>
          <w:tcPr>
            <w:tcW w:type="dxa" w:w="11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20日</w:t>
            </w:r>
          </w:p>
        </w:tc>
        <w:tc>
          <w:tcPr>
            <w:tcW w:type="dxa" w:w="41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conditional_ic / hmm3_growth</w:t>
            </w:r>
          </w:p>
        </w:tc>
        <w:tc>
          <w:tcPr>
            <w:tcW w:type="dxa" w:w="119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0.25</w:t>
            </w:r>
          </w:p>
        </w:tc>
        <w:tc>
          <w:tcPr>
            <w:tcW w:type="dxa" w:w="14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7.89%</w:t>
            </w:r>
          </w:p>
        </w:tc>
        <w:tc>
          <w:tcPr>
            <w:tcW w:type="dxa" w:w="146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14.17%</w:t>
            </w:r>
          </w:p>
        </w:tc>
      </w:tr>
    </w:tbl>
    <w:p>
      <w:pPr>
        <w:pStyle w:val="Caption"/>
        <w:spacing w:after="40" w:line="40" w:lineRule="exact"/>
      </w:pPr>
    </w:p>
    <w:p>
      <w:r>
        <w:t>低仓位是回撤下降的重要来源。最低100股约束还会使部分名义Top20无法成交，产生价格与交易粒度偏好；报告保留失败订单数，不能把名义选股数当作实际持股数。将资金扩大十倍也不能机械放大收益，需重新核验股数、容量和成交成本。</w:t>
      </w:r>
    </w:p>
    <w:p>
      <w:pPr>
        <w:pStyle w:val="Heading1"/>
        <w:pageBreakBefore/>
      </w:pPr>
      <w:r>
        <w:t>07  HMM如何介入，以及确实改善了什么</w:t>
      </w:r>
    </w:p>
    <w:p>
      <w:r>
        <w:t>观测向量包含市场平均收益、对数波动率、趋势/波动比、对数Amihud非流动性、截面收益分散度。训练内标准化并截尾；2/3状态Gaussian HMM，月度使用此前504日拟合，两个固定随机种子按训练似然和占用/持续期诊断选择。92组月度/状态数拟合中1组回退；通过的拟合均未触及220次迭代上限。</w:t>
      </w:r>
    </w:p>
    <w:p>
      <w:r>
        <w:t>αₜ ∝ 发射似然(Oₜ) × (αₜ₋₁ A)；用于下一交易日的是αₜA。每次重训按训练内条件波动排序对齐状态；所有交易端只使用前向结果。防守上限由收缩后的状态均值决定；增长上限由状态收益/波动决定；概率加权后只做过去向指数平滑。</w:t>
      </w:r>
    </w:p>
    <w:p>
      <w:r>
        <w:drawing>
          <wp:inline xmlns:a="http://schemas.openxmlformats.org/drawingml/2006/main" xmlns:pic="http://schemas.openxmlformats.org/drawingml/2006/picture">
            <wp:extent cx="5852160" cy="23408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mm_contro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相同5日IC评分、相同成本。最后一项把固定仓位调到约7%的实际平均敞口，只作为事后解释对照。</w:t>
      </w:r>
    </w:p>
    <w:p>
      <w:r>
        <w:t>5日增长HMM候选夏普1.46、Calmar2.30、回撤5.25%；实际敞口匹配的固定仓位分别为0.74、0.76、5.80%。这个对照支持本轮HMM的历史择时增益。</w:t>
      </w:r>
    </w:p>
    <w:p>
      <w:r>
        <w:t>增益不是普遍的：未缩放的HMM防守相对匹配仓位提高夏普和Calmar，但最大回撤未必更小；HMM波动率方案也可能损害夏普。状态条件均值—方差因子择时实验并未达标，失败结果保留。</w:t>
      </w:r>
    </w:p>
    <w:p>
      <w:pPr>
        <w:pStyle w:val="Heading1"/>
        <w:pageBreakBefore/>
      </w:pPr>
      <w:r>
        <w:t>08  状态概率、真实持仓与分段风险</w:t>
      </w:r>
    </w:p>
    <w:p>
      <w:r>
        <w:drawing>
          <wp:inline xmlns:a="http://schemas.openxmlformats.org/drawingml/2006/main" xmlns:pic="http://schemas.openxmlformats.org/drawingml/2006/picture">
            <wp:extent cx="5852160" cy="31211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mm_probabilities_expos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21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上图是按波动排序的状态概率，不应直接把“低波”改名为“牛市”。下图显示仓位上限与真实持仓差异。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553"/>
        <w:gridCol w:w="1702"/>
        <w:gridCol w:w="1702"/>
        <w:gridCol w:w="1702"/>
        <w:gridCol w:w="1701"/>
      </w:tblGrid>
      <w:tr>
        <w:trPr>
          <w:cantSplit/>
          <w:tblHeader/>
        </w:trPr>
        <w:tc>
          <w:tcPr>
            <w:tcW w:type="dxa" w:w="255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5日候选分段</w:t>
            </w:r>
          </w:p>
        </w:tc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年化收益</w:t>
            </w:r>
          </w:p>
        </w:tc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夏普</w:t>
            </w:r>
          </w:p>
        </w:tc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Calmar</w:t>
            </w:r>
          </w:p>
        </w:tc>
        <w:tc>
          <w:tcPr>
            <w:tcW w:type="dxa" w:w="17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回撤</w:t>
            </w:r>
          </w:p>
        </w:tc>
      </w:tr>
      <w:tr>
        <w:trPr>
          <w:cantSplit/>
        </w:trPr>
        <w:tc>
          <w:tcPr>
            <w:tcW w:type="dxa" w:w="255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前一年</w:t>
            </w:r>
          </w:p>
        </w:tc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28.75%</w:t>
            </w:r>
          </w:p>
        </w:tc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2.45</w:t>
            </w:r>
          </w:p>
        </w:tc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5.48</w:t>
            </w:r>
          </w:p>
        </w:tc>
        <w:tc>
          <w:tcPr>
            <w:tcW w:type="dxa" w:w="17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5.25%</w:t>
            </w:r>
          </w:p>
        </w:tc>
      </w:tr>
      <w:tr>
        <w:trPr>
          <w:cantSplit/>
        </w:trPr>
        <w:tc>
          <w:tcPr>
            <w:tcW w:type="dxa" w:w="255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最近一年</w:t>
            </w:r>
          </w:p>
        </w:tc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-1.95%</w:t>
            </w:r>
          </w:p>
        </w:tc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-2.07</w:t>
            </w:r>
          </w:p>
        </w:tc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-0.77</w:t>
            </w:r>
          </w:p>
        </w:tc>
        <w:tc>
          <w:tcPr>
            <w:tcW w:type="dxa" w:w="17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2.52%</w:t>
            </w:r>
          </w:p>
        </w:tc>
      </w:tr>
      <w:tr>
        <w:trPr>
          <w:cantSplit/>
        </w:trPr>
        <w:tc>
          <w:tcPr>
            <w:tcW w:type="dxa" w:w="255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最近半年</w:t>
            </w:r>
          </w:p>
        </w:tc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-2.19%</w:t>
            </w:r>
          </w:p>
        </w:tc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-1.88</w:t>
            </w:r>
          </w:p>
        </w:tc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-0.97</w:t>
            </w:r>
          </w:p>
        </w:tc>
        <w:tc>
          <w:tcPr>
            <w:tcW w:type="dxa" w:w="17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2.26%</w:t>
            </w:r>
          </w:p>
        </w:tc>
      </w:tr>
    </w:tbl>
    <w:p>
      <w:pPr>
        <w:pStyle w:val="Caption"/>
        <w:spacing w:after="40" w:line="40" w:lineRule="exact"/>
      </w:pPr>
    </w:p>
    <w:p>
      <w:r>
        <w:t>20日块自助法（1500次）得到5日候选夏普95%区间[-0.31, 3.00]，Calmar区间[-0.04, 7.11]。这反映历史样本不确定性，尚未校正全部研究尝试造成的选择偏差；不能把通过比例解释成未来达标概率。</w:t>
      </w:r>
    </w:p>
    <w:p>
      <w:pPr>
        <w:pStyle w:val="Heading1"/>
        <w:pageBreakBefore/>
      </w:pPr>
      <w:r>
        <w:t>08.1  发现近期失效后，补做了哪些实验</w:t>
      </w:r>
    </w:p>
    <w:p>
      <w:r>
        <w:t>先对500组固定方案、540组风险缩放/保护方案重新分段核对，没有方案同时通过完整区间与最近一年或最近半年。随后明确登记新实验，检验“504日训练太旧、季度更新太慢”的假说；这是发现问题后的探索，仍不构成全新留出集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059"/>
        <w:gridCol w:w="7301"/>
      </w:tblGrid>
      <w:tr>
        <w:trPr>
          <w:cantSplit/>
          <w:tblHeader/>
        </w:trPr>
        <w:tc>
          <w:tcPr>
            <w:tcW w:type="dxa" w:w="205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改变什么</w:t>
            </w:r>
          </w:p>
        </w:tc>
        <w:tc>
          <w:tcPr>
            <w:tcW w:type="dxa" w:w="73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固定范围</w:t>
            </w:r>
          </w:p>
        </w:tc>
      </w:tr>
      <w:tr>
        <w:trPr>
          <w:cantSplit/>
        </w:trPr>
        <w:tc>
          <w:tcPr>
            <w:tcW w:type="dxa" w:w="205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监督模型</w:t>
            </w:r>
          </w:p>
        </w:tc>
        <w:tc>
          <w:tcPr>
            <w:tcW w:type="dxa" w:w="73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预测1/5/20日；63/126/252日训练窗；每月更新，标签终点剔除；从初始训练期确定的候选因子中再选40项</w:t>
            </w:r>
          </w:p>
        </w:tc>
      </w:tr>
      <w:tr>
        <w:trPr>
          <w:cantSplit/>
        </w:trPr>
        <w:tc>
          <w:tcPr>
            <w:tcW w:type="dxa" w:w="205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模型复杂度</w:t>
            </w:r>
          </w:p>
        </w:tc>
        <w:tc>
          <w:tcPr>
            <w:tcW w:type="dxa" w:w="73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Ridge正则20/180、深度3的LightGBM、带符号IC；4个固定模型</w:t>
            </w:r>
          </w:p>
        </w:tc>
      </w:tr>
      <w:tr>
        <w:trPr>
          <w:cantSplit/>
        </w:trPr>
        <w:tc>
          <w:tcPr>
            <w:tcW w:type="dxa" w:w="205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HMM与仓位</w:t>
            </w:r>
          </w:p>
        </w:tc>
        <w:tc>
          <w:tcPr>
            <w:tcW w:type="dxa" w:w="73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504/126日HMM训练窗；三状态防守/增长×0.25/0.5；另有固定与波动对照</w:t>
            </w:r>
          </w:p>
        </w:tc>
      </w:tr>
      <w:tr>
        <w:trPr>
          <w:cantSplit/>
        </w:trPr>
        <w:tc>
          <w:tcPr>
            <w:tcW w:type="dxa" w:w="205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执行及验收</w:t>
            </w:r>
          </w:p>
        </w:tc>
        <w:tc>
          <w:tcPr>
            <w:tcW w:type="dxa" w:w="73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Top20、每边5bp、相同连续账本；20日预测另对比5/20日持有；三个区间分别要求夏普&gt;1且Calmar&gt;2</w:t>
            </w:r>
          </w:p>
        </w:tc>
      </w:tr>
    </w:tbl>
    <w:p>
      <w:pPr>
        <w:pStyle w:val="Caption"/>
        <w:spacing w:after="40" w:line="40" w:lineRule="exact"/>
      </w:pPr>
    </w:p>
    <w:p>
      <w:r>
        <w:t>实际完成225个月度训练分组、9份预测文件、480个账户方案。完整区间通过41个，最近一年通过0个，最近半年通过0个，同时三个区间通过0个。月度预测的标签边界、非空评分和唯一性检查均通过。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2"/>
        <w:gridCol w:w="2212"/>
        <w:gridCol w:w="1702"/>
        <w:gridCol w:w="1872"/>
        <w:gridCol w:w="1872"/>
      </w:tblGrid>
      <w:tr>
        <w:trPr>
          <w:cantSplit/>
          <w:tblHeader/>
        </w:trPr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8"/>
              </w:rPr>
              <w:t>预测/持有</w:t>
            </w:r>
          </w:p>
        </w:tc>
        <w:tc>
          <w:tcPr>
            <w:tcW w:type="dxa" w:w="22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8"/>
              </w:rPr>
              <w:t>训练窗/模型</w:t>
            </w:r>
          </w:p>
        </w:tc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8"/>
              </w:rPr>
              <w:t>完整 S/C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8"/>
              </w:rPr>
              <w:t>近一年 S/C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8"/>
              </w:rPr>
              <w:t>近半年 S/C</w:t>
            </w:r>
          </w:p>
        </w:tc>
      </w:tr>
      <w:tr>
        <w:trPr>
          <w:cantSplit/>
        </w:trPr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1/1日</w:t>
            </w:r>
          </w:p>
        </w:tc>
        <w:tc>
          <w:tcPr>
            <w:tcW w:type="dxa" w:w="22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252日/lgbm</w:t>
            </w:r>
          </w:p>
        </w:tc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1.20/1.68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-0.09/-0.21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0.21/0.08</w:t>
            </w:r>
          </w:p>
        </w:tc>
      </w:tr>
      <w:tr>
        <w:trPr>
          <w:cantSplit/>
        </w:trPr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5/5日</w:t>
            </w:r>
          </w:p>
        </w:tc>
        <w:tc>
          <w:tcPr>
            <w:tcW w:type="dxa" w:w="22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63日/lgbm</w:t>
            </w:r>
          </w:p>
        </w:tc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1.22/1.48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-0.20/0.08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-0.83/-0.55</w:t>
            </w:r>
          </w:p>
        </w:tc>
      </w:tr>
      <w:tr>
        <w:trPr>
          <w:cantSplit/>
        </w:trPr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20/20日</w:t>
            </w:r>
          </w:p>
        </w:tc>
        <w:tc>
          <w:tcPr>
            <w:tcW w:type="dxa" w:w="22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126日/lgbm</w:t>
            </w:r>
          </w:p>
        </w:tc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-0.10/-0.01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-0.64/-0.38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-0.65/-0.65</w:t>
            </w:r>
          </w:p>
        </w:tc>
      </w:tr>
    </w:tbl>
    <w:p>
      <w:pPr>
        <w:pStyle w:val="Caption"/>
        <w:spacing w:after="40" w:line="40" w:lineRule="exact"/>
      </w:pPr>
    </w:p>
    <w:p>
      <w:pPr>
        <w:pStyle w:val="Caption"/>
      </w:pPr>
      <w:r>
        <w:t>S为无风险1.5%夏普，C为年化Calmar。上表每个期限选择三个区间中最差的min(S,C/2)最高者，仅用于解释跟进实验；其风险规则和所有480条结果完整保存在short_windows/all_results.csv。不能把不同方案在不同区间的最好成绩拼接成一条策略。</w:t>
      </w:r>
    </w:p>
    <w:p>
      <w:r>
        <w:t>结果不支持“仅缩短窗口并加快更新就能解决失效”。下一轮须优先解决因子发布时间、证券主表与更多独立行情，并研究近期选股效应变化；目前不能把完整历史区间的达标结果作为稳定验收通过。</w:t>
      </w:r>
    </w:p>
    <w:p>
      <w:pPr>
        <w:pStyle w:val="Heading1"/>
        <w:pageBreakBefore/>
      </w:pPr>
      <w:r>
        <w:t>08.2  为何IC仍为正，账户却会亏损</w:t>
      </w:r>
    </w:p>
    <w:p>
      <w:r>
        <w:t>固定候选评分重新分段后，发现近期相对排序仍有信息，但5日和20日选中股票的平均远期绝对收益已经为负。只做多的相对排名模型，无法仅凭正IC保证每个阶段赚钱。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621"/>
        <w:gridCol w:w="1872"/>
        <w:gridCol w:w="2434"/>
        <w:gridCol w:w="2433"/>
      </w:tblGrid>
      <w:tr>
        <w:trPr>
          <w:cantSplit/>
          <w:tblHeader/>
        </w:trPr>
        <w:tc>
          <w:tcPr>
            <w:tcW w:type="dxa" w:w="262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期限/区间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平均RankIC</w:t>
            </w:r>
          </w:p>
        </w:tc>
        <w:tc>
          <w:tcPr>
            <w:tcW w:type="dxa" w:w="243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入选股标签收益</w:t>
            </w:r>
          </w:p>
        </w:tc>
        <w:tc>
          <w:tcPr>
            <w:tcW w:type="dxa" w:w="243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股票池标签收益</w:t>
            </w:r>
          </w:p>
        </w:tc>
      </w:tr>
      <w:tr>
        <w:trPr>
          <w:cantSplit/>
        </w:trPr>
        <w:tc>
          <w:tcPr>
            <w:tcW w:type="dxa" w:w="262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1日/前一年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0.132</w:t>
            </w:r>
          </w:p>
        </w:tc>
        <w:tc>
          <w:tcPr>
            <w:tcW w:type="dxa" w:w="243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0.63%</w:t>
            </w:r>
          </w:p>
        </w:tc>
        <w:tc>
          <w:tcPr>
            <w:tcW w:type="dxa" w:w="243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0.23%</w:t>
            </w:r>
          </w:p>
        </w:tc>
      </w:tr>
      <w:tr>
        <w:trPr>
          <w:cantSplit/>
        </w:trPr>
        <w:tc>
          <w:tcPr>
            <w:tcW w:type="dxa" w:w="262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1日/最近一年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0.124</w:t>
            </w:r>
          </w:p>
        </w:tc>
        <w:tc>
          <w:tcPr>
            <w:tcW w:type="dxa" w:w="243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0.04%</w:t>
            </w:r>
          </w:p>
        </w:tc>
        <w:tc>
          <w:tcPr>
            <w:tcW w:type="dxa" w:w="243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-0.19%</w:t>
            </w:r>
          </w:p>
        </w:tc>
      </w:tr>
      <w:tr>
        <w:trPr>
          <w:cantSplit/>
        </w:trPr>
        <w:tc>
          <w:tcPr>
            <w:tcW w:type="dxa" w:w="262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5日/前一年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0.201</w:t>
            </w:r>
          </w:p>
        </w:tc>
        <w:tc>
          <w:tcPr>
            <w:tcW w:type="dxa" w:w="243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2.81%</w:t>
            </w:r>
          </w:p>
        </w:tc>
        <w:tc>
          <w:tcPr>
            <w:tcW w:type="dxa" w:w="243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1.48%</w:t>
            </w:r>
          </w:p>
        </w:tc>
      </w:tr>
      <w:tr>
        <w:trPr>
          <w:cantSplit/>
        </w:trPr>
        <w:tc>
          <w:tcPr>
            <w:tcW w:type="dxa" w:w="262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5日/最近一年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0.120</w:t>
            </w:r>
          </w:p>
        </w:tc>
        <w:tc>
          <w:tcPr>
            <w:tcW w:type="dxa" w:w="243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-0.46%</w:t>
            </w:r>
          </w:p>
        </w:tc>
        <w:tc>
          <w:tcPr>
            <w:tcW w:type="dxa" w:w="243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-0.80%</w:t>
            </w:r>
          </w:p>
        </w:tc>
      </w:tr>
      <w:tr>
        <w:trPr>
          <w:cantSplit/>
        </w:trPr>
        <w:tc>
          <w:tcPr>
            <w:tcW w:type="dxa" w:w="262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20日/前一年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0.220</w:t>
            </w:r>
          </w:p>
        </w:tc>
        <w:tc>
          <w:tcPr>
            <w:tcW w:type="dxa" w:w="243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7.28%</w:t>
            </w:r>
          </w:p>
        </w:tc>
        <w:tc>
          <w:tcPr>
            <w:tcW w:type="dxa" w:w="243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4.61%</w:t>
            </w:r>
          </w:p>
        </w:tc>
      </w:tr>
      <w:tr>
        <w:trPr>
          <w:cantSplit/>
        </w:trPr>
        <w:tc>
          <w:tcPr>
            <w:tcW w:type="dxa" w:w="262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20日/最近一年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0.152</w:t>
            </w:r>
          </w:p>
        </w:tc>
        <w:tc>
          <w:tcPr>
            <w:tcW w:type="dxa" w:w="243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-2.57%</w:t>
            </w:r>
          </w:p>
        </w:tc>
        <w:tc>
          <w:tcPr>
            <w:tcW w:type="dxa" w:w="243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-3.42%</w:t>
            </w:r>
          </w:p>
        </w:tc>
      </w:tr>
    </w:tbl>
    <w:p>
      <w:pPr>
        <w:pStyle w:val="Caption"/>
        <w:spacing w:after="40" w:line="40" w:lineRule="exact"/>
      </w:pPr>
    </w:p>
    <w:p>
      <w:pPr>
        <w:pStyle w:val="Caption"/>
      </w:pPr>
      <w:r>
        <w:t>此表逐日等权平均已成熟的预测标签，标签终点不跨分段截止；无成本和实际成交约束，期限重叠。它用于诊断信号，不是账户收益、独立交易样本或最终20日候选的5日实际持有收益。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808"/>
        <w:gridCol w:w="2246"/>
        <w:gridCol w:w="4306"/>
      </w:tblGrid>
      <w:tr>
        <w:trPr>
          <w:cantSplit/>
          <w:tblHeader/>
        </w:trPr>
        <w:tc>
          <w:tcPr>
            <w:tcW w:type="dxa" w:w="28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最近一年基线</w:t>
            </w:r>
          </w:p>
        </w:tc>
        <w:tc>
          <w:tcPr>
            <w:tcW w:type="dxa" w:w="22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区间累计收益</w:t>
            </w:r>
          </w:p>
        </w:tc>
        <w:tc>
          <w:tcPr>
            <w:tcW w:type="dxa" w:w="430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口径</w:t>
            </w:r>
          </w:p>
        </w:tc>
      </w:tr>
      <w:tr>
        <w:trPr>
          <w:cantSplit/>
        </w:trPr>
        <w:tc>
          <w:tcPr>
            <w:tcW w:type="dxa" w:w="28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动态股票池等权</w:t>
            </w:r>
          </w:p>
        </w:tc>
        <w:tc>
          <w:tcPr>
            <w:tcW w:type="dxa" w:w="22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-24.80%</w:t>
            </w:r>
          </w:p>
        </w:tc>
        <w:tc>
          <w:tcPr>
            <w:tcW w:type="dxa" w:w="430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相同5日批次与资金/成交限制</w:t>
            </w:r>
          </w:p>
        </w:tc>
      </w:tr>
      <w:tr>
        <w:trPr>
          <w:cantSplit/>
        </w:trPr>
        <w:tc>
          <w:tcPr>
            <w:tcW w:type="dxa" w:w="28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北证50</w:t>
            </w:r>
          </w:p>
        </w:tc>
        <w:tc>
          <w:tcPr>
            <w:tcW w:type="dxa" w:w="22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-31.99%</w:t>
            </w:r>
          </w:p>
        </w:tc>
        <w:tc>
          <w:tcPr>
            <w:tcW w:type="dxa" w:w="430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价格指数，未含分红与跟踪成本</w:t>
            </w:r>
          </w:p>
        </w:tc>
      </w:tr>
    </w:tbl>
    <w:p>
      <w:pPr>
        <w:pStyle w:val="Caption"/>
        <w:spacing w:after="40" w:line="40" w:lineRule="exact"/>
      </w:pPr>
    </w:p>
    <w:p>
      <w:r>
        <w:t>最近一年5日候选平均实际持仓只有约3.13%，区间累计亏损约1.90%；相对基线显著减少损失，但仍是亏损。HMM在这里主要控制风险敞口，不能把所有缺乏正绝对收益的股票变成盈利交易。</w:t>
      </w:r>
    </w:p>
    <w:p>
      <w:r>
        <w:t>这一诊断支持下轮把“横截面排序”和“是否有足够绝对预期收益覆盖成本”作为两个可分别检验的模型问题。需训练内估计并校准绝对收益/不交易门槛，保留同期现金和简单趋势对照，再在冻结区间评价。不能根据已经看到的下跌日期事后关闭交易，也不能靠放大仓位把负期望变成正期望。</w:t>
      </w:r>
    </w:p>
    <w:p>
      <w:r>
        <w:t>本页说明现象与可检验假说，不把市场下跌视为所有损失的唯一原因。供应商历史版本、幸存者偏差、价格代理与小额整股成交偏差仍需要独立排查。</w:t>
      </w:r>
    </w:p>
    <w:p>
      <w:pPr>
        <w:pStyle w:val="Heading1"/>
        <w:pageBreakBefore/>
      </w:pPr>
      <w:r>
        <w:t>09  稳健性：哪些候选更值得继续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553"/>
        <w:gridCol w:w="1702"/>
        <w:gridCol w:w="1702"/>
        <w:gridCol w:w="1702"/>
        <w:gridCol w:w="1701"/>
      </w:tblGrid>
      <w:tr>
        <w:trPr>
          <w:cantSplit/>
          <w:tblHeader/>
        </w:trPr>
        <w:tc>
          <w:tcPr>
            <w:tcW w:type="dxa" w:w="255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5日候选情景</w:t>
            </w:r>
          </w:p>
        </w:tc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成本/边</w:t>
            </w:r>
          </w:p>
        </w:tc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夏普</w:t>
            </w:r>
          </w:p>
        </w:tc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Calmar</w:t>
            </w:r>
          </w:p>
        </w:tc>
        <w:tc>
          <w:tcPr>
            <w:tcW w:type="dxa" w:w="17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最大回撤</w:t>
            </w:r>
          </w:p>
        </w:tc>
      </w:tr>
      <w:tr>
        <w:trPr>
          <w:cantSplit/>
        </w:trPr>
        <w:tc>
          <w:tcPr>
            <w:tcW w:type="dxa" w:w="255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成本0bp</w:t>
            </w:r>
          </w:p>
        </w:tc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0bp</w:t>
            </w:r>
          </w:p>
        </w:tc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1.52</w:t>
            </w:r>
          </w:p>
        </w:tc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2.41</w:t>
            </w:r>
          </w:p>
        </w:tc>
        <w:tc>
          <w:tcPr>
            <w:tcW w:type="dxa" w:w="17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5.19%</w:t>
            </w:r>
          </w:p>
        </w:tc>
      </w:tr>
      <w:tr>
        <w:trPr>
          <w:cantSplit/>
        </w:trPr>
        <w:tc>
          <w:tcPr>
            <w:tcW w:type="dxa" w:w="255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成本2bp</w:t>
            </w:r>
          </w:p>
        </w:tc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2bp</w:t>
            </w:r>
          </w:p>
        </w:tc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1.50</w:t>
            </w:r>
          </w:p>
        </w:tc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2.37</w:t>
            </w:r>
          </w:p>
        </w:tc>
        <w:tc>
          <w:tcPr>
            <w:tcW w:type="dxa" w:w="17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5.22%</w:t>
            </w:r>
          </w:p>
        </w:tc>
      </w:tr>
      <w:tr>
        <w:trPr>
          <w:cantSplit/>
        </w:trPr>
        <w:tc>
          <w:tcPr>
            <w:tcW w:type="dxa" w:w="255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主情景5bp</w:t>
            </w:r>
          </w:p>
        </w:tc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5bp</w:t>
            </w:r>
          </w:p>
        </w:tc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1.46</w:t>
            </w:r>
          </w:p>
        </w:tc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2.30</w:t>
            </w:r>
          </w:p>
        </w:tc>
        <w:tc>
          <w:tcPr>
            <w:tcW w:type="dxa" w:w="17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5.25%</w:t>
            </w:r>
          </w:p>
        </w:tc>
      </w:tr>
      <w:tr>
        <w:trPr>
          <w:cantSplit/>
        </w:trPr>
        <w:tc>
          <w:tcPr>
            <w:tcW w:type="dxa" w:w="255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成本15bp</w:t>
            </w:r>
          </w:p>
        </w:tc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15bp</w:t>
            </w:r>
          </w:p>
        </w:tc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1.37</w:t>
            </w:r>
          </w:p>
        </w:tc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2.20</w:t>
            </w:r>
          </w:p>
        </w:tc>
        <w:tc>
          <w:tcPr>
            <w:tcW w:type="dxa" w:w="17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5.14%</w:t>
            </w:r>
          </w:p>
        </w:tc>
      </w:tr>
      <w:tr>
        <w:trPr>
          <w:cantSplit/>
        </w:trPr>
        <w:tc>
          <w:tcPr>
            <w:tcW w:type="dxa" w:w="255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不计分红</w:t>
            </w:r>
          </w:p>
        </w:tc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5bp</w:t>
            </w:r>
          </w:p>
        </w:tc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1.41</w:t>
            </w:r>
          </w:p>
        </w:tc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2.22</w:t>
            </w:r>
          </w:p>
        </w:tc>
        <w:tc>
          <w:tcPr>
            <w:tcW w:type="dxa" w:w="17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5.25%</w:t>
            </w:r>
          </w:p>
        </w:tc>
      </w:tr>
      <w:tr>
        <w:trPr>
          <w:cantSplit/>
        </w:trPr>
        <w:tc>
          <w:tcPr>
            <w:tcW w:type="dxa" w:w="255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评分延迟1日</w:t>
            </w:r>
          </w:p>
        </w:tc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5bp</w:t>
            </w:r>
          </w:p>
        </w:tc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1.46</w:t>
            </w:r>
          </w:p>
        </w:tc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2.09</w:t>
            </w:r>
          </w:p>
        </w:tc>
        <w:tc>
          <w:tcPr>
            <w:tcW w:type="dxa" w:w="17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5.58%</w:t>
            </w:r>
          </w:p>
        </w:tc>
      </w:tr>
    </w:tbl>
    <w:p>
      <w:pPr>
        <w:pStyle w:val="Caption"/>
        <w:spacing w:after="40" w:line="40" w:lineRule="exact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02"/>
        <w:gridCol w:w="2383"/>
        <w:gridCol w:w="2553"/>
        <w:gridCol w:w="2722"/>
      </w:tblGrid>
      <w:tr>
        <w:trPr>
          <w:cantSplit/>
          <w:tblHeader/>
        </w:trPr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期限</w:t>
            </w:r>
          </w:p>
        </w:tc>
        <w:tc>
          <w:tcPr>
            <w:tcW w:type="dxa" w:w="23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15bp仍双通过</w:t>
            </w:r>
          </w:p>
        </w:tc>
        <w:tc>
          <w:tcPr>
            <w:tcW w:type="dxa" w:w="255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延迟1日仍双通过</w:t>
            </w:r>
          </w:p>
        </w:tc>
        <w:tc>
          <w:tcPr>
            <w:tcW w:type="dxa" w:w="272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判断</w:t>
            </w:r>
          </w:p>
        </w:tc>
      </w:tr>
      <w:tr>
        <w:trPr>
          <w:cantSplit/>
        </w:trPr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1日</w:t>
            </w:r>
          </w:p>
        </w:tc>
        <w:tc>
          <w:tcPr>
            <w:tcW w:type="dxa" w:w="23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255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272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门槛较脆弱</w:t>
            </w:r>
          </w:p>
        </w:tc>
      </w:tr>
      <w:tr>
        <w:trPr>
          <w:cantSplit/>
        </w:trPr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2日</w:t>
            </w:r>
          </w:p>
        </w:tc>
        <w:tc>
          <w:tcPr>
            <w:tcW w:type="dxa" w:w="23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255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272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门槛较脆弱</w:t>
            </w:r>
          </w:p>
        </w:tc>
      </w:tr>
      <w:tr>
        <w:trPr>
          <w:cantSplit/>
        </w:trPr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5日</w:t>
            </w:r>
          </w:p>
        </w:tc>
        <w:tc>
          <w:tcPr>
            <w:tcW w:type="dxa" w:w="23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255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272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近期表现未通过</w:t>
            </w:r>
          </w:p>
        </w:tc>
      </w:tr>
      <w:tr>
        <w:trPr>
          <w:cantSplit/>
        </w:trPr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10日</w:t>
            </w:r>
          </w:p>
        </w:tc>
        <w:tc>
          <w:tcPr>
            <w:tcW w:type="dxa" w:w="23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255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272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门槛较脆弱</w:t>
            </w:r>
          </w:p>
        </w:tc>
      </w:tr>
      <w:tr>
        <w:trPr>
          <w:cantSplit/>
        </w:trPr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20日</w:t>
            </w:r>
          </w:p>
        </w:tc>
        <w:tc>
          <w:tcPr>
            <w:tcW w:type="dxa" w:w="23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255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272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近期表现未通过</w:t>
            </w:r>
          </w:p>
        </w:tc>
      </w:tr>
    </w:tbl>
    <w:p>
      <w:pPr>
        <w:pStyle w:val="Caption"/>
        <w:spacing w:after="40" w:line="40" w:lineRule="exact"/>
      </w:pPr>
    </w:p>
    <w:p>
      <w:r>
        <w:t>完整区间五个候选达到数值门槛，但1/2日期限对成本或信号时点敏感；10日期限的部分压力情景也未通过。5日与20日通过成本和延迟压力，仍未通过近期表现检验。20日预测最终实际持有5日；原20日持有候选Calmar约1.47，保存在h20/aligned_holding目录。</w:t>
      </w:r>
    </w:p>
    <w:p>
      <w:r>
        <w:t>分红未验证真实支付日、税率和送转可卖日，因此主情景是税前即时到账近似；不计分红的压力结果单列。涨跌停也只是30%价格代理，缺ST与历史精确参考价，不能据此宣称可直接实盘复制。</w:t>
      </w:r>
    </w:p>
    <w:p>
      <w:pPr>
        <w:pStyle w:val="Heading1"/>
        <w:pageBreakBefore/>
      </w:pPr>
      <w:r>
        <w:t>10  日内因子、分钟执行与沪深扩展</w:t>
      </w:r>
    </w:p>
    <w:p>
      <w:r>
        <w:t>125个分钟文件形成12114个“股票—日”聚合样本。分钟IC使用前一日已知股票池，剔除午休与缺失分钟跨越，检验1/5/20分钟未来收益；成交信号使用完整分钟后的信息。分钟预测IC不能直接解释为A股可当天往返的利润。</w:t>
      </w:r>
    </w:p>
    <w:p>
      <w:r>
        <w:t>日聚合特征包括尾盘收益、实现/下行波动、偏度、成交量集中度、尾盘量占比、收盘/VWAP偏离、午后相对上午强弱与价量相关等。2025Q4训练、2026Q3评价；固定Ridge后次日交易。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995"/>
        <w:gridCol w:w="2621"/>
        <w:gridCol w:w="1872"/>
        <w:gridCol w:w="1872"/>
      </w:tblGrid>
      <w:tr>
        <w:trPr>
          <w:cantSplit/>
          <w:tblHeader/>
        </w:trPr>
        <w:tc>
          <w:tcPr>
            <w:tcW w:type="dxa" w:w="29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分钟聚合→日预测</w:t>
            </w:r>
          </w:p>
        </w:tc>
        <w:tc>
          <w:tcPr>
            <w:tcW w:type="dxa" w:w="262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风险规则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夏普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Calmar</w:t>
            </w:r>
          </w:p>
        </w:tc>
      </w:tr>
      <w:tr>
        <w:trPr>
          <w:cantSplit/>
        </w:trPr>
        <w:tc>
          <w:tcPr>
            <w:tcW w:type="dxa" w:w="29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1日</w:t>
            </w:r>
          </w:p>
        </w:tc>
        <w:tc>
          <w:tcPr>
            <w:tcW w:type="dxa" w:w="262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none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1.47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5.49</w:t>
            </w:r>
          </w:p>
        </w:tc>
      </w:tr>
      <w:tr>
        <w:trPr>
          <w:cantSplit/>
        </w:trPr>
        <w:tc>
          <w:tcPr>
            <w:tcW w:type="dxa" w:w="29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5日</w:t>
            </w:r>
          </w:p>
        </w:tc>
        <w:tc>
          <w:tcPr>
            <w:tcW w:type="dxa" w:w="262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none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-0.73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-1.40</w:t>
            </w:r>
          </w:p>
        </w:tc>
      </w:tr>
      <w:tr>
        <w:trPr>
          <w:cantSplit/>
        </w:trPr>
        <w:tc>
          <w:tcPr>
            <w:tcW w:type="dxa" w:w="29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20日</w:t>
            </w:r>
          </w:p>
        </w:tc>
        <w:tc>
          <w:tcPr>
            <w:tcW w:type="dxa" w:w="262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none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0.23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0.69</w:t>
            </w:r>
          </w:p>
        </w:tc>
      </w:tr>
    </w:tbl>
    <w:p>
      <w:pPr>
        <w:pStyle w:val="Caption"/>
        <w:spacing w:after="40" w:line="40" w:lineRule="exact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33"/>
        <w:gridCol w:w="2427"/>
        <w:gridCol w:w="2080"/>
        <w:gridCol w:w="3120"/>
      </w:tblGrid>
      <w:tr>
        <w:trPr>
          <w:cantSplit/>
          <w:tblHeader/>
        </w:trPr>
        <w:tc>
          <w:tcPr>
            <w:tcW w:type="dxa" w:w="173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分钟参与率</w:t>
            </w:r>
          </w:p>
        </w:tc>
        <w:tc>
          <w:tcPr>
            <w:tcW w:type="dxa" w:w="242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成交股数比例</w:t>
            </w:r>
          </w:p>
        </w:tc>
        <w:tc>
          <w:tcPr>
            <w:tcW w:type="dxa" w:w="2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最低现金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容量超额/同日卖出</w:t>
            </w:r>
          </w:p>
        </w:tc>
      </w:tr>
      <w:tr>
        <w:trPr>
          <w:cantSplit/>
        </w:trPr>
        <w:tc>
          <w:tcPr>
            <w:tcW w:type="dxa" w:w="173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0.50%</w:t>
            </w:r>
          </w:p>
        </w:tc>
        <w:tc>
          <w:tcPr>
            <w:tcW w:type="dxa" w:w="242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50.34%</w:t>
            </w:r>
          </w:p>
        </w:tc>
        <w:tc>
          <w:tcPr>
            <w:tcW w:type="dxa" w:w="2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130534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type="dxa" w:w="173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1.00%</w:t>
            </w:r>
          </w:p>
        </w:tc>
        <w:tc>
          <w:tcPr>
            <w:tcW w:type="dxa" w:w="242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74.32%</w:t>
            </w:r>
          </w:p>
        </w:tc>
        <w:tc>
          <w:tcPr>
            <w:tcW w:type="dxa" w:w="2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151481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type="dxa" w:w="173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2.00%</w:t>
            </w:r>
          </w:p>
        </w:tc>
        <w:tc>
          <w:tcPr>
            <w:tcW w:type="dxa" w:w="242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92.17%</w:t>
            </w:r>
          </w:p>
        </w:tc>
        <w:tc>
          <w:tcPr>
            <w:tcW w:type="dxa" w:w="2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208060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0 / 0</w:t>
            </w:r>
          </w:p>
        </w:tc>
      </w:tr>
    </w:tbl>
    <w:p>
      <w:pPr>
        <w:pStyle w:val="Caption"/>
        <w:spacing w:after="40" w:line="40" w:lineRule="exact"/>
      </w:pPr>
    </w:p>
    <w:p>
      <w:r>
        <w:t>分钟执行压力：买入9:31—10:00、卖出14:50—15:00，买用分钟高价、卖用低价，0.5/1/2%成交量参与率。此项复用原Top5账本，对新的IC评分按5bp检验，不是最终低仓位候选的分钟净值证明。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744"/>
        <w:gridCol w:w="2808"/>
        <w:gridCol w:w="2808"/>
      </w:tblGrid>
      <w:tr>
        <w:trPr>
          <w:cantSplit/>
          <w:tblHeader/>
        </w:trP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沪深31季度旧样本重跑</w:t>
            </w:r>
          </w:p>
        </w:tc>
        <w:tc>
          <w:tcPr>
            <w:tcW w:type="dxa" w:w="28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累计收益</w:t>
            </w:r>
          </w:p>
        </w:tc>
        <w:tc>
          <w:tcPr>
            <w:tcW w:type="dxa" w:w="28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最大回撤</w:t>
            </w:r>
          </w:p>
        </w:tc>
      </w:tr>
      <w:tr>
        <w:trPr>
          <w:cantSplit/>
        </w:trP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pred_price</w:t>
            </w:r>
          </w:p>
        </w:tc>
        <w:tc>
          <w:tcPr>
            <w:tcW w:type="dxa" w:w="28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83.75%</w:t>
            </w:r>
          </w:p>
        </w:tc>
        <w:tc>
          <w:tcPr>
            <w:tcW w:type="dxa" w:w="28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-48.70%</w:t>
            </w:r>
          </w:p>
        </w:tc>
      </w:tr>
      <w:tr>
        <w:trPr>
          <w:cantSplit/>
        </w:trP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pred_selected</w:t>
            </w:r>
          </w:p>
        </w:tc>
        <w:tc>
          <w:tcPr>
            <w:tcW w:type="dxa" w:w="28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102.87%</w:t>
            </w:r>
          </w:p>
        </w:tc>
        <w:tc>
          <w:tcPr>
            <w:tcW w:type="dxa" w:w="28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-44.98%</w:t>
            </w:r>
          </w:p>
        </w:tc>
      </w:tr>
      <w:tr>
        <w:trPr>
          <w:cantSplit/>
        </w:trP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pred_ridge</w:t>
            </w:r>
          </w:p>
        </w:tc>
        <w:tc>
          <w:tcPr>
            <w:tcW w:type="dxa" w:w="28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50.01%</w:t>
            </w:r>
          </w:p>
        </w:tc>
        <w:tc>
          <w:tcPr>
            <w:tcW w:type="dxa" w:w="28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-43.95%</w:t>
            </w:r>
          </w:p>
        </w:tc>
      </w:tr>
    </w:tbl>
    <w:p>
      <w:pPr>
        <w:pStyle w:val="Caption"/>
        <w:spacing w:after="40" w:line="40" w:lineRule="exact"/>
      </w:pPr>
    </w:p>
    <w:p>
      <w:r>
        <w:t>沪深保留496只来源股票的旧样本与原账本局限，只把费用改为5bp重跑；不把8月21日后的缺失行情、退市信息和板块交易规则假装已补齐。</w:t>
      </w:r>
    </w:p>
    <w:p>
      <w:pPr>
        <w:pStyle w:val="Heading1"/>
        <w:pageBreakBefore/>
      </w:pPr>
      <w:r>
        <w:t>11  LLM因子挖掘：已完成的本地闭环</w:t>
      </w:r>
    </w:p>
    <w:p>
      <w:r>
        <w:t>本轮由Codex提出24个明确假说的公式，记录名称、输入、经济解释和信息截止时点。表达式只允许字段、数字及加减乘除，拒绝函数调用、属性访问、索引和外部执行；除零转缺值。因果滚动特征由审查过的代码提供，生成表达式本身不能向未来移动数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131"/>
        <w:gridCol w:w="7229"/>
      </w:tblGrid>
      <w:tr>
        <w:trPr>
          <w:cantSplit/>
          <w:tblHeader/>
        </w:trPr>
        <w:tc>
          <w:tcPr>
            <w:tcW w:type="dxa" w:w="21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步骤</w:t>
            </w:r>
          </w:p>
        </w:tc>
        <w:tc>
          <w:tcPr>
            <w:tcW w:type="dxa" w:w="72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实现与证据</w:t>
            </w:r>
          </w:p>
        </w:tc>
      </w:tr>
      <w:tr>
        <w:trPr>
          <w:cantSplit/>
        </w:trPr>
        <w:tc>
          <w:tcPr>
            <w:tcW w:type="dxa" w:w="21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假说</w:t>
            </w:r>
          </w:p>
        </w:tc>
        <w:tc>
          <w:tcPr>
            <w:tcW w:type="dxa" w:w="72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如风险调整动量、短期反转、下行风险、量价压力；llm_factor_proposals.json</w:t>
            </w:r>
          </w:p>
        </w:tc>
      </w:tr>
      <w:tr>
        <w:trPr>
          <w:cantSplit/>
        </w:trPr>
        <w:tc>
          <w:tcPr>
            <w:tcW w:type="dxa" w:w="21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实现/审核</w:t>
            </w:r>
          </w:p>
        </w:tc>
        <w:tc>
          <w:tcPr>
            <w:tcW w:type="dxa" w:w="72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factor_dsl.py及拒绝执行测试；不把LLM描述直接作为可交易证据</w:t>
            </w:r>
          </w:p>
        </w:tc>
      </w:tr>
      <w:tr>
        <w:trPr>
          <w:cantSplit/>
        </w:trPr>
        <w:tc>
          <w:tcPr>
            <w:tcW w:type="dxa" w:w="21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训练筛选</w:t>
            </w:r>
          </w:p>
        </w:tc>
        <w:tc>
          <w:tcPr>
            <w:tcW w:type="dxa" w:w="72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仅训练内IC、覆盖与去重；与供应商特征共同进入335项候选</w:t>
            </w:r>
          </w:p>
        </w:tc>
      </w:tr>
      <w:tr>
        <w:trPr>
          <w:cantSplit/>
        </w:trPr>
        <w:tc>
          <w:tcPr>
            <w:tcW w:type="dxa" w:w="21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独立消融</w:t>
            </w:r>
          </w:p>
        </w:tc>
        <w:tc>
          <w:tcPr>
            <w:tcW w:type="dxa" w:w="72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LLM-only Ridge单列，避免因合并模型盈利就声称LLM增益</w:t>
            </w:r>
          </w:p>
        </w:tc>
      </w:tr>
      <w:tr>
        <w:trPr>
          <w:cantSplit/>
        </w:trPr>
        <w:tc>
          <w:tcPr>
            <w:tcW w:type="dxa" w:w="21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因子择时</w:t>
            </w:r>
          </w:p>
        </w:tc>
        <w:tc>
          <w:tcPr>
            <w:tcW w:type="dxa" w:w="72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63日因子收益动量；HMM状态条件均值/波动/Sharpe与收缩配置</w:t>
            </w:r>
          </w:p>
        </w:tc>
      </w:tr>
      <w:tr>
        <w:trPr>
          <w:cantSplit/>
        </w:trPr>
        <w:tc>
          <w:tcPr>
            <w:tcW w:type="dxa" w:w="21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留痕</w:t>
            </w:r>
          </w:p>
        </w:tc>
        <w:tc>
          <w:tcPr>
            <w:tcW w:type="dxa" w:w="72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所有公式、季度因子卡、预测、失败组合、账本和输入哈希保留</w:t>
            </w:r>
          </w:p>
        </w:tc>
      </w:tr>
    </w:tbl>
    <w:p>
      <w:pPr>
        <w:pStyle w:val="Caption"/>
        <w:spacing w:after="40" w:line="40" w:lineRule="exact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5616"/>
        <w:gridCol w:w="1872"/>
        <w:gridCol w:w="1872"/>
      </w:tblGrid>
      <w:tr>
        <w:trPr>
          <w:cantSplit/>
          <w:tblHeader/>
        </w:trPr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5日同风险规则比较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夏普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Calmar</w:t>
            </w:r>
          </w:p>
        </w:tc>
      </w:tr>
      <w:tr>
        <w:trPr>
          <w:cantSplit/>
        </w:trPr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llm_ridge / hmm3_defensive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1.38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1.81</w:t>
            </w:r>
          </w:p>
        </w:tc>
      </w:tr>
      <w:tr>
        <w:trPr>
          <w:cantSplit/>
        </w:trPr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conditional_ic / hmm3_defensive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1.61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2.31</w:t>
            </w:r>
          </w:p>
        </w:tc>
      </w:tr>
      <w:tr>
        <w:trPr>
          <w:cantSplit/>
        </w:trPr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ic / hmm3_defensive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1.63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2.34</w:t>
            </w:r>
          </w:p>
        </w:tc>
      </w:tr>
    </w:tbl>
    <w:p>
      <w:pPr>
        <w:pStyle w:val="Caption"/>
        <w:spacing w:after="40" w:line="40" w:lineRule="exact"/>
      </w:pPr>
    </w:p>
    <w:p>
      <w:r>
        <w:t>本地因子提案与执行闭环已经实际运行；未调用RD-Agent收费后端，也没有把手工写入的真实数据标签伪称LLM生成结果。两篇因子择时论文提供研究假说，本轮近似实验未复制原始跨市场样本与论文完整方法。</w:t>
      </w:r>
    </w:p>
    <w:p>
      <w:pPr>
        <w:pStyle w:val="Heading1"/>
        <w:pageBreakBefore/>
      </w:pPr>
      <w:r>
        <w:t>12  Jev：离线接入完成，真实调用为零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621"/>
        <w:gridCol w:w="1310"/>
        <w:gridCol w:w="5429"/>
      </w:tblGrid>
      <w:tr>
        <w:trPr>
          <w:cantSplit/>
          <w:tblHeader/>
        </w:trPr>
        <w:tc>
          <w:tcPr>
            <w:tcW w:type="dxa" w:w="262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未来任务</w:t>
            </w:r>
          </w:p>
        </w:tc>
        <w:tc>
          <w:tcPr>
            <w:tcW w:type="dxa" w:w="1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API类型</w:t>
            </w:r>
          </w:p>
        </w:tc>
        <w:tc>
          <w:tcPr>
            <w:tcW w:type="dxa" w:w="54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输出和使用边界</w:t>
            </w:r>
          </w:p>
        </w:tc>
      </w:tr>
      <w:tr>
        <w:trPr>
          <w:cantSplit/>
        </w:trPr>
        <w:tc>
          <w:tcPr>
            <w:tcW w:type="dxa" w:w="262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财报信息分类</w:t>
            </w:r>
          </w:p>
        </w:tc>
        <w:tc>
          <w:tcPr>
            <w:tcW w:type="dxa" w:w="1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choice</w:t>
            </w:r>
          </w:p>
        </w:tc>
        <w:tc>
          <w:tcPr>
            <w:tcW w:type="dxa" w:w="54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改善/恶化/混合/证据不足及概率；相同报告期与历史版本比较</w:t>
            </w:r>
          </w:p>
        </w:tc>
      </w:tr>
      <w:tr>
        <w:trPr>
          <w:cantSplit/>
        </w:trPr>
        <w:tc>
          <w:tcPr>
            <w:tcW w:type="dxa" w:w="262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新闻事件评分</w:t>
            </w:r>
          </w:p>
        </w:tc>
        <w:tc>
          <w:tcPr>
            <w:tcW w:type="dxa" w:w="1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score</w:t>
            </w:r>
          </w:p>
        </w:tc>
        <w:tc>
          <w:tcPr>
            <w:tcW w:type="dxa" w:w="54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五档0—4的概率加权评分；是基本面影响等级，不等同未来收益</w:t>
            </w:r>
          </w:p>
        </w:tc>
      </w:tr>
      <w:tr>
        <w:trPr>
          <w:cantSplit/>
        </w:trPr>
        <w:tc>
          <w:tcPr>
            <w:tcW w:type="dxa" w:w="262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风险信号提取</w:t>
            </w:r>
          </w:p>
        </w:tc>
        <w:tc>
          <w:tcPr>
            <w:tcW w:type="dxa" w:w="1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noul</w:t>
            </w:r>
          </w:p>
        </w:tc>
        <w:tc>
          <w:tcPr>
            <w:tcW w:type="dxa" w:w="54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是否存在明确的流动性、违约、会计、监管、治理或经营风险证据概率</w:t>
            </w:r>
          </w:p>
        </w:tc>
      </w:tr>
    </w:tbl>
    <w:p>
      <w:pPr>
        <w:pStyle w:val="Caption"/>
        <w:spacing w:after="40" w:line="40" w:lineRule="exact"/>
      </w:pPr>
    </w:p>
    <w:p>
      <w:r>
        <w:t>模型固定为jev-1.13.0；正式端点为POST /v1/systemone。用户明确要求先不付费使用，因此本轮没有真实API调用，也没有把会议或行情上传到外部模型。默认call_jev拒绝联网；只有后续明确允许后才能更改调用开关并安全配置环境变量。</w:t>
      </w:r>
    </w:p>
    <w:p>
      <w:r>
        <w:t>每条文本保留发行人、文档ID、来源、发布时间、摄取时间、版本可得时间。三个时间必须不晚于决策截止点；之后发布或后来修订的文本不可回填到过去。文档内容被当成待分类证据，不作为程序指令。</w:t>
      </w:r>
    </w:p>
    <w:p>
      <w:r>
        <w:t>响应校验检查问题集合、类型、类别、概率归一化、0—4评分与概率加权一致性、置信度及实际响应模型版本。本地测试显式使用合成样例，不能记成真实财报识别准确率。</w:t>
      </w:r>
    </w:p>
    <w:p>
      <w:r>
        <w:t>接入真实数据后的验收：先做人工标签及时间切分，验证集拟合校准，报告Brier、LogLoss、ECE与分类准确率；最终按相同选股/成交规则比较“有Jev/无Jev”。风险概率只作为辅助特征或风险上限，不直接当作股票上涨概率。</w:t>
      </w:r>
    </w:p>
    <w:p>
      <w:r>
        <w:t>后续仍需真实文档档案与标签、中文任务校准、真实API契约检查，以及对组合的增量检验。代码和离线检验已完成，业务效果尚未实测。</w:t>
      </w:r>
    </w:p>
    <w:p>
      <w:pPr>
        <w:pStyle w:val="Heading1"/>
        <w:pageBreakBefore/>
      </w:pPr>
      <w:r>
        <w:t>13  前沿模型调研与Kronos本地实测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46"/>
        <w:gridCol w:w="3744"/>
        <w:gridCol w:w="3370"/>
      </w:tblGrid>
      <w:tr>
        <w:trPr>
          <w:cantSplit/>
          <w:tblHeader/>
        </w:trPr>
        <w:tc>
          <w:tcPr>
            <w:tcW w:type="dxa" w:w="22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路线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本轮采取的做法</w:t>
            </w:r>
          </w:p>
        </w:tc>
        <w:tc>
          <w:tcPr>
            <w:tcW w:type="dxa" w:w="33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下一步条件</w:t>
            </w:r>
          </w:p>
        </w:tc>
      </w:tr>
      <w:tr>
        <w:trPr>
          <w:cantSplit/>
        </w:trPr>
        <w:tc>
          <w:tcPr>
            <w:tcW w:type="dxa" w:w="22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Qlib表格/排序模型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实际运行Ridge、提升树、随机树、排序与集成</w:t>
            </w:r>
          </w:p>
        </w:tc>
        <w:tc>
          <w:tcPr>
            <w:tcW w:type="dxa" w:w="33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继续用相同数据和账本比较</w:t>
            </w:r>
          </w:p>
        </w:tc>
      </w:tr>
      <w:tr>
        <w:trPr>
          <w:cantSplit/>
        </w:trPr>
        <w:tc>
          <w:tcPr>
            <w:tcW w:type="dxa" w:w="22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时序神经网络/图模型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调研Qlib官方模型族，未冒充全部跑完</w:t>
            </w:r>
          </w:p>
        </w:tc>
        <w:tc>
          <w:tcPr>
            <w:tcW w:type="dxa" w:w="33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更充分序列样本、行业关系、算力与独立协议</w:t>
            </w:r>
          </w:p>
        </w:tc>
      </w:tr>
      <w:tr>
        <w:trPr>
          <w:cantSplit/>
        </w:trPr>
        <w:tc>
          <w:tcPr>
            <w:tcW w:type="dxa" w:w="22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RD-Agent / AlphaGPT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采用假说、实现、反馈和人工审核流程</w:t>
            </w:r>
          </w:p>
        </w:tc>
        <w:tc>
          <w:tcPr>
            <w:tcW w:type="dxa" w:w="33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若启用外部模型需另计成本与资料权限</w:t>
            </w:r>
          </w:p>
        </w:tc>
      </w:tr>
      <w:tr>
        <w:trPr>
          <w:cantSplit/>
        </w:trPr>
        <w:tc>
          <w:tcPr>
            <w:tcW w:type="dxa" w:w="22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Kronos-mini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公开4.1M模型，本机CPU推理，固定代码/权重提交号</w:t>
            </w:r>
          </w:p>
        </w:tc>
        <w:tc>
          <w:tcPr>
            <w:tcW w:type="dxa" w:w="33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扩大滚动评价，并核实预训练数据时间范围</w:t>
            </w:r>
          </w:p>
        </w:tc>
      </w:tr>
      <w:tr>
        <w:trPr>
          <w:cantSplit/>
        </w:trPr>
        <w:tc>
          <w:tcPr>
            <w:tcW w:type="dxa" w:w="22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Jev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完成文本分类、评分、风险接口；零真实调用</w:t>
            </w:r>
          </w:p>
        </w:tc>
        <w:tc>
          <w:tcPr>
            <w:tcW w:type="dxa" w:w="33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真实文本标签和后续授权</w:t>
            </w:r>
          </w:p>
        </w:tc>
      </w:tr>
    </w:tbl>
    <w:p>
      <w:pPr>
        <w:pStyle w:val="Caption"/>
        <w:spacing w:after="40" w:line="40" w:lineRule="exact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370"/>
        <w:gridCol w:w="2995"/>
        <w:gridCol w:w="2995"/>
      </w:tblGrid>
      <w:tr>
        <w:trPr>
          <w:cantSplit/>
          <w:tblHeader/>
        </w:trPr>
        <w:tc>
          <w:tcPr>
            <w:tcW w:type="dxa" w:w="33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Kronos预测期限</w:t>
            </w:r>
          </w:p>
        </w:tc>
        <w:tc>
          <w:tcPr>
            <w:tcW w:type="dxa" w:w="29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平均RankIC</w:t>
            </w:r>
          </w:p>
        </w:tc>
        <w:tc>
          <w:tcPr>
            <w:tcW w:type="dxa" w:w="29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截面日期数</w:t>
            </w:r>
          </w:p>
        </w:tc>
      </w:tr>
      <w:tr>
        <w:trPr>
          <w:cantSplit/>
        </w:trPr>
        <w:tc>
          <w:tcPr>
            <w:tcW w:type="dxa" w:w="33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1日</w:t>
            </w:r>
          </w:p>
        </w:tc>
        <w:tc>
          <w:tcPr>
            <w:tcW w:type="dxa" w:w="29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0.0005</w:t>
            </w:r>
          </w:p>
        </w:tc>
        <w:tc>
          <w:tcPr>
            <w:tcW w:type="dxa" w:w="29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33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2日</w:t>
            </w:r>
          </w:p>
        </w:tc>
        <w:tc>
          <w:tcPr>
            <w:tcW w:type="dxa" w:w="29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0.0135</w:t>
            </w:r>
          </w:p>
        </w:tc>
        <w:tc>
          <w:tcPr>
            <w:tcW w:type="dxa" w:w="29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33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5日</w:t>
            </w:r>
          </w:p>
        </w:tc>
        <w:tc>
          <w:tcPr>
            <w:tcW w:type="dxa" w:w="29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0.0741</w:t>
            </w:r>
          </w:p>
        </w:tc>
        <w:tc>
          <w:tcPr>
            <w:tcW w:type="dxa" w:w="29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33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10日</w:t>
            </w:r>
          </w:p>
        </w:tc>
        <w:tc>
          <w:tcPr>
            <w:tcW w:type="dxa" w:w="29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0.0835</w:t>
            </w:r>
          </w:p>
        </w:tc>
        <w:tc>
          <w:tcPr>
            <w:tcW w:type="dxa" w:w="29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33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20日</w:t>
            </w:r>
          </w:p>
        </w:tc>
        <w:tc>
          <w:tcPr>
            <w:tcW w:type="dxa" w:w="29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0.2003</w:t>
            </w:r>
          </w:p>
        </w:tc>
        <w:tc>
          <w:tcPr>
            <w:tcW w:type="dxa" w:w="29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9</w:t>
            </w:r>
          </w:p>
        </w:tc>
      </w:tr>
    </w:tbl>
    <w:p>
      <w:pPr>
        <w:pStyle w:val="Caption"/>
        <w:spacing w:after="40" w:line="40" w:lineRule="exact"/>
      </w:pPr>
    </w:p>
    <w:p>
      <w:r>
        <w:t>Kronos检验为2026年7—8月的9个约周频截面，共821个股票—日期预测；128根历史日K线输入、单条采样路径、同时提取1/2/5/10/20日输出。20日RankIC较高，但只有9个日期且标签重叠，不能用这个数字宣布稳定收益或独立显著性。</w:t>
      </w:r>
    </w:p>
    <w:p>
      <w:r>
        <w:t>该检验是本机实际推理，未纳入最终低回撤候选的收益冒充来源；预训练样本时间范围也未独立核实。仓库与权重SHA、推理参数和逐股预测已保存。调研覆盖与现有资料匹配的主要路线，不宣称穷尽全球模型。</w:t>
      </w:r>
    </w:p>
    <w:p>
      <w:pPr>
        <w:pStyle w:val="Heading1"/>
        <w:pageBreakBefore/>
      </w:pPr>
      <w:r>
        <w:t>14.1  老师和项目要求逐项落实</w:t>
      </w:r>
    </w:p>
    <w:p>
      <w:pPr>
        <w:pStyle w:val="Caption"/>
      </w:pPr>
      <w:r>
        <w:t>原始依据为10月9日两段会议录音文字、本地项目规划、HMM任务PDF及本轮用户要求。源头和详细证据路径完整保存在requirements_matrix.csv。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099"/>
        <w:gridCol w:w="4549"/>
        <w:gridCol w:w="2712"/>
      </w:tblGrid>
      <w:tr>
        <w:trPr>
          <w:cantSplit/>
          <w:tblHeader/>
        </w:trPr>
        <w:tc>
          <w:tcPr>
            <w:tcW w:type="dxa" w:w="209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编号 / 要求</w:t>
            </w:r>
          </w:p>
        </w:tc>
        <w:tc>
          <w:tcPr>
            <w:tcW w:type="dxa" w:w="45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本轮解决方案</w:t>
            </w:r>
          </w:p>
        </w:tc>
        <w:tc>
          <w:tcPr>
            <w:tcW w:type="dxa" w:w="27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状态与剩余条件</w:t>
            </w:r>
          </w:p>
        </w:tc>
      </w:tr>
      <w:tr>
        <w:trPr>
          <w:cantSplit/>
        </w:trPr>
        <w:tc>
          <w:tcPr>
            <w:tcW w:type="dxa" w:w="209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R01</w:t>
              <w:br/>
              <w:t>动态流动性股票池</w:t>
            </w:r>
          </w:p>
        </w:tc>
        <w:tc>
          <w:tcPr>
            <w:tcW w:type="dxa" w:w="45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每日按过去20日成交额选Top100；至少60日历史、最近20日16日有效成交</w:t>
            </w:r>
          </w:p>
        </w:tc>
        <w:tc>
          <w:tcPr>
            <w:tcW w:type="dxa" w:w="27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已实现</w:t>
            </w:r>
          </w:p>
        </w:tc>
      </w:tr>
      <w:tr>
        <w:trPr>
          <w:cantSplit/>
        </w:trPr>
        <w:tc>
          <w:tcPr>
            <w:tcW w:type="dxa" w:w="209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R02</w:t>
              <w:br/>
              <w:t>清楚解释股票池与因子更新频率</w:t>
            </w:r>
          </w:p>
        </w:tc>
        <w:tc>
          <w:tcPr>
            <w:tcW w:type="dxa" w:w="45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股票池每日变；因子与模型每季度重估；HMM每月重估</w:t>
            </w:r>
          </w:p>
        </w:tc>
        <w:tc>
          <w:tcPr>
            <w:tcW w:type="dxa" w:w="27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已实现</w:t>
            </w:r>
          </w:p>
        </w:tc>
      </w:tr>
      <w:tr>
        <w:trPr>
          <w:cantSplit/>
        </w:trPr>
        <w:tc>
          <w:tcPr>
            <w:tcW w:type="dxa" w:w="209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R03</w:t>
              <w:br/>
              <w:t>逐项说明因子来源与经济含义</w:t>
            </w:r>
          </w:p>
        </w:tc>
        <w:tc>
          <w:tcPr>
            <w:tcW w:type="dxa" w:w="45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292个供应商Alpha + 19个价量特征 + 24个LLM提案；来源、可核公式和解释目录</w:t>
            </w:r>
          </w:p>
        </w:tc>
        <w:tc>
          <w:tcPr>
            <w:tcW w:type="dxa" w:w="27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已列目录；101原式与历史发布版本需供应商核对</w:t>
            </w:r>
          </w:p>
        </w:tc>
      </w:tr>
      <w:tr>
        <w:trPr>
          <w:cantSplit/>
        </w:trPr>
        <w:tc>
          <w:tcPr>
            <w:tcW w:type="dxa" w:w="209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R04</w:t>
              <w:br/>
              <w:t>精确给出IC、窗口、符号、去重流程</w:t>
            </w:r>
          </w:p>
        </w:tc>
        <w:tc>
          <w:tcPr>
            <w:tcW w:type="dxa" w:w="45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训练504日，逐日横截面RankIC均值；覆盖≥70%；按绝对IC排序；相关绝对值≥0.92去重；负IC保留方向</w:t>
            </w:r>
          </w:p>
        </w:tc>
        <w:tc>
          <w:tcPr>
            <w:tcW w:type="dxa" w:w="27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已实现</w:t>
            </w:r>
          </w:p>
        </w:tc>
      </w:tr>
      <w:tr>
        <w:trPr>
          <w:cantSplit/>
        </w:trPr>
        <w:tc>
          <w:tcPr>
            <w:tcW w:type="dxa" w:w="209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R05</w:t>
              <w:br/>
              <w:t>展示训练、验证、明日持仓具体例子</w:t>
            </w:r>
          </w:p>
        </w:tc>
        <w:tc>
          <w:tcPr>
            <w:tcW w:type="dxa" w:w="45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126日验证与标签终点purge；信号收盘后形成、次日开盘执行；导出单日排名及交易账本</w:t>
            </w:r>
          </w:p>
        </w:tc>
        <w:tc>
          <w:tcPr>
            <w:tcW w:type="dxa" w:w="27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已实现</w:t>
            </w:r>
          </w:p>
        </w:tc>
      </w:tr>
      <w:tr>
        <w:trPr>
          <w:cantSplit/>
        </w:trPr>
        <w:tc>
          <w:tcPr>
            <w:tcW w:type="dxa" w:w="209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R06</w:t>
              <w:br/>
              <w:t>比较因子数量与简单模型</w:t>
            </w:r>
          </w:p>
        </w:tc>
        <w:tc>
          <w:tcPr>
            <w:tcW w:type="dxa" w:w="45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保留9月30/10月8日20/40/60/80/100对照；本轮60/100、Ridge、树模型、排序模型、IC和集成</w:t>
            </w:r>
          </w:p>
        </w:tc>
        <w:tc>
          <w:tcPr>
            <w:tcW w:type="dxa" w:w="27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已实现；新旧口径分别标注</w:t>
            </w:r>
          </w:p>
        </w:tc>
      </w:tr>
      <w:tr>
        <w:trPr>
          <w:cantSplit/>
        </w:trPr>
        <w:tc>
          <w:tcPr>
            <w:tcW w:type="dxa" w:w="209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R07</w:t>
              <w:br/>
              <w:t>完成滚动训练与连续资金账本</w:t>
            </w:r>
          </w:p>
        </w:tc>
        <w:tc>
          <w:tcPr>
            <w:tcW w:type="dxa" w:w="45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季度滚动、标签跨窗剔除；跨季度保留现金和持仓；期末未到期持股按市值计入</w:t>
            </w:r>
          </w:p>
        </w:tc>
        <w:tc>
          <w:tcPr>
            <w:tcW w:type="dxa" w:w="27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已实现</w:t>
            </w:r>
          </w:p>
        </w:tc>
      </w:tr>
      <w:tr>
        <w:trPr>
          <w:cantSplit/>
        </w:trPr>
        <w:tc>
          <w:tcPr>
            <w:tcW w:type="dxa" w:w="209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R08</w:t>
              <w:br/>
              <w:t>预测多个交易期限</w:t>
            </w:r>
          </w:p>
        </w:tc>
        <w:tc>
          <w:tcPr>
            <w:tcW w:type="dxa" w:w="45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1、2、5、10、20交易日；T+1定义为次日开盘到再下一交易日开盘</w:t>
            </w:r>
          </w:p>
        </w:tc>
        <w:tc>
          <w:tcPr>
            <w:tcW w:type="dxa" w:w="27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已实现；用户10月12日确认无需再核对飞书</w:t>
            </w:r>
          </w:p>
        </w:tc>
      </w:tr>
    </w:tbl>
    <w:p>
      <w:pPr>
        <w:pStyle w:val="Caption"/>
        <w:spacing w:after="40" w:line="40" w:lineRule="exact"/>
      </w:pPr>
    </w:p>
    <w:p>
      <w:pPr>
        <w:pStyle w:val="Heading1"/>
        <w:pageBreakBefore/>
      </w:pPr>
      <w:r>
        <w:t>14.2  老师和项目要求逐项落实</w:t>
      </w:r>
    </w:p>
    <w:p>
      <w:pPr>
        <w:pStyle w:val="Caption"/>
      </w:pPr>
      <w:r>
        <w:t>原始依据为10月9日两段会议录音文字、本地项目规划、HMM任务PDF及本轮用户要求。源头和详细证据路径完整保存在requirements_matrix.csv。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099"/>
        <w:gridCol w:w="4549"/>
        <w:gridCol w:w="2712"/>
      </w:tblGrid>
      <w:tr>
        <w:trPr>
          <w:cantSplit/>
          <w:tblHeader/>
        </w:trPr>
        <w:tc>
          <w:tcPr>
            <w:tcW w:type="dxa" w:w="209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编号 / 要求</w:t>
            </w:r>
          </w:p>
        </w:tc>
        <w:tc>
          <w:tcPr>
            <w:tcW w:type="dxa" w:w="45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本轮解决方案</w:t>
            </w:r>
          </w:p>
        </w:tc>
        <w:tc>
          <w:tcPr>
            <w:tcW w:type="dxa" w:w="27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状态与剩余条件</w:t>
            </w:r>
          </w:p>
        </w:tc>
      </w:tr>
      <w:tr>
        <w:trPr>
          <w:cantSplit/>
        </w:trPr>
        <w:tc>
          <w:tcPr>
            <w:tcW w:type="dxa" w:w="209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R09</w:t>
              <w:br/>
              <w:t>年化收益和最大回撤同时展示</w:t>
            </w:r>
          </w:p>
        </w:tc>
        <w:tc>
          <w:tcPr>
            <w:tcW w:type="dxa" w:w="45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净值、回撤、累计和年化收益均列出</w:t>
            </w:r>
          </w:p>
        </w:tc>
        <w:tc>
          <w:tcPr>
            <w:tcW w:type="dxa" w:w="27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已实现</w:t>
            </w:r>
          </w:p>
        </w:tc>
      </w:tr>
      <w:tr>
        <w:trPr>
          <w:cantSplit/>
        </w:trPr>
        <w:tc>
          <w:tcPr>
            <w:tcW w:type="dxa" w:w="209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R10</w:t>
              <w:br/>
              <w:t>夏普、Calmar、利用率、空仓、胜率、盈亏比</w:t>
            </w:r>
          </w:p>
        </w:tc>
        <w:tc>
          <w:tcPr>
            <w:tcW w:type="dxa" w:w="45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现金计入净值；无风险0和1.5%双口径；成交分笔胜率及盈亏比；逐季和完整区间</w:t>
            </w:r>
          </w:p>
        </w:tc>
        <w:tc>
          <w:tcPr>
            <w:tcW w:type="dxa" w:w="27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已实现；成交分笔指标不等同独立交易样本</w:t>
            </w:r>
          </w:p>
        </w:tc>
      </w:tr>
      <w:tr>
        <w:trPr>
          <w:cantSplit/>
        </w:trPr>
        <w:tc>
          <w:tcPr>
            <w:tcW w:type="dxa" w:w="209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R11</w:t>
              <w:br/>
              <w:t>指数与等权基线</w:t>
            </w:r>
          </w:p>
        </w:tc>
        <w:tc>
          <w:tcPr>
            <w:tcW w:type="dxa" w:w="45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北证50价格指数；同一资金/成交约束下动态Top100等权批次账户</w:t>
            </w:r>
          </w:p>
        </w:tc>
        <w:tc>
          <w:tcPr>
            <w:tcW w:type="dxa" w:w="27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已实现</w:t>
            </w:r>
          </w:p>
        </w:tc>
      </w:tr>
      <w:tr>
        <w:trPr>
          <w:cantSplit/>
        </w:trPr>
        <w:tc>
          <w:tcPr>
            <w:tcW w:type="dxa" w:w="209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R12</w:t>
              <w:br/>
              <w:t>降低交易成本并作敏感性</w:t>
            </w:r>
          </w:p>
        </w:tc>
        <w:tc>
          <w:tcPr>
            <w:tcW w:type="dxa" w:w="45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主方案每边5bp，另测0/1/2/15bp；税费与冲击假设不伪装真实账单</w:t>
            </w:r>
          </w:p>
        </w:tc>
        <w:tc>
          <w:tcPr>
            <w:tcW w:type="dxa" w:w="27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已实现</w:t>
            </w:r>
          </w:p>
        </w:tc>
      </w:tr>
      <w:tr>
        <w:trPr>
          <w:cantSplit/>
        </w:trPr>
        <w:tc>
          <w:tcPr>
            <w:tcW w:type="dxa" w:w="209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R13</w:t>
              <w:br/>
              <w:t>降低约45%的大回撤</w:t>
            </w:r>
          </w:p>
        </w:tc>
        <w:tc>
          <w:tcPr>
            <w:tcW w:type="dxa" w:w="45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分散、波动预算、HMM软仓位、风险缩放、回撤/CPPI候选；全部保留</w:t>
            </w:r>
          </w:p>
        </w:tc>
        <w:tc>
          <w:tcPr>
            <w:tcW w:type="dxa" w:w="27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已实现；效果按实际数值验收</w:t>
            </w:r>
          </w:p>
        </w:tc>
      </w:tr>
      <w:tr>
        <w:trPr>
          <w:cantSplit/>
        </w:trPr>
        <w:tc>
          <w:tcPr>
            <w:tcW w:type="dxa" w:w="209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R14</w:t>
              <w:br/>
              <w:t>同时Sharpe&gt;1、Calmar&gt;2</w:t>
            </w:r>
          </w:p>
        </w:tc>
        <w:tc>
          <w:tcPr>
            <w:tcW w:type="dxa" w:w="45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完整区间历史探索通过；预定选择、最近一年/半年分开检验；追加短窗口月度更新</w:t>
            </w:r>
          </w:p>
        </w:tc>
        <w:tc>
          <w:tcPr>
            <w:tcW w:type="dxa" w:w="27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稳定达标验收未完成；5日/20日历史候选近期亏损</w:t>
            </w:r>
          </w:p>
        </w:tc>
      </w:tr>
      <w:tr>
        <w:trPr>
          <w:cantSplit/>
        </w:trPr>
        <w:tc>
          <w:tcPr>
            <w:tcW w:type="dxa" w:w="209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R15</w:t>
              <w:br/>
              <w:t>HMM加入趋势、波动、流动性等信息</w:t>
            </w:r>
          </w:p>
        </w:tc>
        <w:tc>
          <w:tcPr>
            <w:tcW w:type="dxa" w:w="45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五维观测、2/3状态、训练内标准化、月度504日滚动；宏观历史版本待补</w:t>
            </w:r>
          </w:p>
        </w:tc>
        <w:tc>
          <w:tcPr>
            <w:tcW w:type="dxa" w:w="27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已实现现有数据部分</w:t>
            </w:r>
          </w:p>
        </w:tc>
      </w:tr>
      <w:tr>
        <w:trPr>
          <w:cantSplit/>
        </w:trPr>
        <w:tc>
          <w:tcPr>
            <w:tcW w:type="dxa" w:w="209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R16</w:t>
              <w:br/>
              <w:t>HMM不能偷看未来；状态标签稳定</w:t>
            </w:r>
          </w:p>
        </w:tc>
        <w:tc>
          <w:tcPr>
            <w:tcW w:type="dxa" w:w="45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前向滤波+一步预测；训练状态波动排序；拟合诊断、持续期与转移矩阵；数值失败显式回退</w:t>
            </w:r>
          </w:p>
        </w:tc>
        <w:tc>
          <w:tcPr>
            <w:tcW w:type="dxa" w:w="27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已实现并测试</w:t>
            </w:r>
          </w:p>
        </w:tc>
      </w:tr>
    </w:tbl>
    <w:p>
      <w:pPr>
        <w:pStyle w:val="Caption"/>
        <w:spacing w:after="40" w:line="40" w:lineRule="exact"/>
      </w:pPr>
    </w:p>
    <w:p>
      <w:pPr>
        <w:pStyle w:val="Heading1"/>
        <w:pageBreakBefore/>
      </w:pPr>
      <w:r>
        <w:t>14.3  老师和项目要求逐项落实</w:t>
      </w:r>
    </w:p>
    <w:p>
      <w:pPr>
        <w:pStyle w:val="Caption"/>
      </w:pPr>
      <w:r>
        <w:t>原始依据为10月9日两段会议录音文字、本地项目规划、HMM任务PDF及本轮用户要求。源头和详细证据路径完整保存在requirements_matrix.csv。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099"/>
        <w:gridCol w:w="4549"/>
        <w:gridCol w:w="2712"/>
      </w:tblGrid>
      <w:tr>
        <w:trPr>
          <w:cantSplit/>
          <w:tblHeader/>
        </w:trPr>
        <w:tc>
          <w:tcPr>
            <w:tcW w:type="dxa" w:w="209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编号 / 要求</w:t>
            </w:r>
          </w:p>
        </w:tc>
        <w:tc>
          <w:tcPr>
            <w:tcW w:type="dxa" w:w="45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本轮解决方案</w:t>
            </w:r>
          </w:p>
        </w:tc>
        <w:tc>
          <w:tcPr>
            <w:tcW w:type="dxa" w:w="27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状态与剩余条件</w:t>
            </w:r>
          </w:p>
        </w:tc>
      </w:tr>
      <w:tr>
        <w:trPr>
          <w:cantSplit/>
        </w:trPr>
        <w:tc>
          <w:tcPr>
            <w:tcW w:type="dxa" w:w="209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R17</w:t>
              <w:br/>
              <w:t>检验HMM实际增益</w:t>
            </w:r>
          </w:p>
        </w:tc>
        <w:tc>
          <w:tcPr>
            <w:tcW w:type="dxa" w:w="45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同选股预测比较固定、趋势、波动、HMM；补实际平均敞口匹配诊断</w:t>
            </w:r>
          </w:p>
        </w:tc>
        <w:tc>
          <w:tcPr>
            <w:tcW w:type="dxa" w:w="27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已实现；不强迫每个指标都改善</w:t>
            </w:r>
          </w:p>
        </w:tc>
      </w:tr>
      <w:tr>
        <w:trPr>
          <w:cantSplit/>
        </w:trPr>
        <w:tc>
          <w:tcPr>
            <w:tcW w:type="dxa" w:w="209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R18</w:t>
              <w:br/>
              <w:t>状态条件因子收益与软配置</w:t>
            </w:r>
          </w:p>
        </w:tc>
        <w:tc>
          <w:tcPr>
            <w:tcW w:type="dxa" w:w="45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条件IC模型；条件因子收益/波动/Sharpe矩阵；收缩协方差与概率加权配置</w:t>
            </w:r>
          </w:p>
        </w:tc>
        <w:tc>
          <w:tcPr>
            <w:tcW w:type="dxa" w:w="27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已实现；风险预算改善与因子择时失败均保留</w:t>
            </w:r>
          </w:p>
        </w:tc>
      </w:tr>
      <w:tr>
        <w:trPr>
          <w:cantSplit/>
        </w:trPr>
        <w:tc>
          <w:tcPr>
            <w:tcW w:type="dxa" w:w="209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R19</w:t>
              <w:br/>
              <w:t>日内因子开发和IC检验</w:t>
            </w:r>
          </w:p>
        </w:tc>
        <w:tc>
          <w:tcPr>
            <w:tcW w:type="dxa" w:w="45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125个分钟文件；1/5/20分钟截面IC；10项聚合特征；2025Q4训练、2026Q3日频选股检验</w:t>
            </w:r>
          </w:p>
        </w:tc>
        <w:tc>
          <w:tcPr>
            <w:tcW w:type="dxa" w:w="27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已实现；分钟IC不是A股当天往返交易收益</w:t>
            </w:r>
          </w:p>
        </w:tc>
      </w:tr>
      <w:tr>
        <w:trPr>
          <w:cantSplit/>
        </w:trPr>
        <w:tc>
          <w:tcPr>
            <w:tcW w:type="dxa" w:w="209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R20</w:t>
              <w:br/>
              <w:t>分钟交易执行与容量约束</w:t>
            </w:r>
          </w:p>
        </w:tc>
        <w:tc>
          <w:tcPr>
            <w:tcW w:type="dxa" w:w="45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分钟最不利价格、0.5/1/2%参与率、部分成交与T+1，按5bp重跑</w:t>
            </w:r>
          </w:p>
        </w:tc>
        <w:tc>
          <w:tcPr>
            <w:tcW w:type="dxa" w:w="27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已实现研究压力情景；订单簿和实盘成交数据待补</w:t>
            </w:r>
          </w:p>
        </w:tc>
      </w:tr>
      <w:tr>
        <w:trPr>
          <w:cantSplit/>
        </w:trPr>
        <w:tc>
          <w:tcPr>
            <w:tcW w:type="dxa" w:w="209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R21</w:t>
              <w:br/>
              <w:t>沪深长期扩展</w:t>
            </w:r>
          </w:p>
        </w:tc>
        <w:tc>
          <w:tcPr>
            <w:tcW w:type="dxa" w:w="45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复用496只样本、31季度预测，5bp重新计账；明确该旧样本的生存者偏差与执行局限</w:t>
            </w:r>
          </w:p>
        </w:tc>
        <w:tc>
          <w:tcPr>
            <w:tcW w:type="dxa" w:w="27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已重跑；新行情样本只到8月21，未冒充10月新结果</w:t>
            </w:r>
          </w:p>
        </w:tc>
      </w:tr>
      <w:tr>
        <w:trPr>
          <w:cantSplit/>
        </w:trPr>
        <w:tc>
          <w:tcPr>
            <w:tcW w:type="dxa" w:w="209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R22</w:t>
              <w:br/>
              <w:t>分红复权和发布时间处理</w:t>
            </w:r>
          </w:p>
        </w:tc>
        <w:tc>
          <w:tcPr>
            <w:tcW w:type="dxa" w:w="45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后复权训练标签；未复权成交；除权日即时税前分红/股份情景；延迟一天信号压力</w:t>
            </w:r>
          </w:p>
        </w:tc>
        <w:tc>
          <w:tcPr>
            <w:tcW w:type="dxa" w:w="27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已实现情景；真实到账和可卖日期未核实</w:t>
            </w:r>
          </w:p>
        </w:tc>
      </w:tr>
      <w:tr>
        <w:trPr>
          <w:cantSplit/>
        </w:trPr>
        <w:tc>
          <w:tcPr>
            <w:tcW w:type="dxa" w:w="209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R23</w:t>
              <w:br/>
              <w:t>重新检查SFTP并列出全部已识别缺口</w:t>
            </w:r>
          </w:p>
        </w:tc>
        <w:tc>
          <w:tcPr>
            <w:tcW w:type="dxa" w:w="45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目录、ZIP中央目录、哈希、内容日期抽样、日历缺口；文件缺失与字段缺失分列</w:t>
            </w:r>
          </w:p>
        </w:tc>
        <w:tc>
          <w:tcPr>
            <w:tcW w:type="dxa" w:w="27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已完成授权范围内盘点；无全库逐值正确性承诺</w:t>
            </w:r>
          </w:p>
        </w:tc>
      </w:tr>
      <w:tr>
        <w:trPr>
          <w:cantSplit/>
        </w:trPr>
        <w:tc>
          <w:tcPr>
            <w:tcW w:type="dxa" w:w="209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R24</w:t>
              <w:br/>
              <w:t>LLM自动化因子挖掘</w:t>
            </w:r>
          </w:p>
        </w:tc>
        <w:tc>
          <w:tcPr>
            <w:tcW w:type="dxa" w:w="45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24个带假说的LLM提案、受限算术DSL、因果特征、训练筛选、模型消融、全部失败留痕</w:t>
            </w:r>
          </w:p>
        </w:tc>
        <w:tc>
          <w:tcPr>
            <w:tcW w:type="dxa" w:w="27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本地闭环已实现；没有冒充运行收费RD-Agent服务</w:t>
            </w:r>
          </w:p>
        </w:tc>
      </w:tr>
    </w:tbl>
    <w:p>
      <w:pPr>
        <w:pStyle w:val="Caption"/>
        <w:spacing w:after="40" w:line="40" w:lineRule="exact"/>
      </w:pPr>
    </w:p>
    <w:p>
      <w:pPr>
        <w:pStyle w:val="Heading1"/>
        <w:pageBreakBefore/>
      </w:pPr>
      <w:r>
        <w:t>14.4  老师和项目要求逐项落实</w:t>
      </w:r>
    </w:p>
    <w:p>
      <w:pPr>
        <w:pStyle w:val="Caption"/>
      </w:pPr>
      <w:r>
        <w:t>原始依据为10月9日两段会议录音文字、本地项目规划、HMM任务PDF及本轮用户要求。源头和详细证据路径完整保存在requirements_matrix.csv。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099"/>
        <w:gridCol w:w="4549"/>
        <w:gridCol w:w="2712"/>
      </w:tblGrid>
      <w:tr>
        <w:trPr>
          <w:cantSplit/>
          <w:tblHeader/>
        </w:trPr>
        <w:tc>
          <w:tcPr>
            <w:tcW w:type="dxa" w:w="209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编号 / 要求</w:t>
            </w:r>
          </w:p>
        </w:tc>
        <w:tc>
          <w:tcPr>
            <w:tcW w:type="dxa" w:w="45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本轮解决方案</w:t>
            </w:r>
          </w:p>
        </w:tc>
        <w:tc>
          <w:tcPr>
            <w:tcW w:type="dxa" w:w="27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状态与剩余条件</w:t>
            </w:r>
          </w:p>
        </w:tc>
      </w:tr>
      <w:tr>
        <w:trPr>
          <w:cantSplit/>
        </w:trPr>
        <w:tc>
          <w:tcPr>
            <w:tcW w:type="dxa" w:w="209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R25</w:t>
              <w:br/>
              <w:t>Jev财报分类、事件评分、风险提取</w:t>
            </w:r>
          </w:p>
        </w:tc>
        <w:tc>
          <w:tcPr>
            <w:tcW w:type="dxa" w:w="45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三种typed questions；冻结版本；文本可用时间门；响应概率校验；Brier/LogLoss/ECE；默认拒绝联网</w:t>
            </w:r>
          </w:p>
        </w:tc>
        <w:tc>
          <w:tcPr>
            <w:tcW w:type="dxa" w:w="27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按用户要求完成离线接入，真实评估待授权和文本标签</w:t>
            </w:r>
          </w:p>
        </w:tc>
      </w:tr>
      <w:tr>
        <w:trPr>
          <w:cantSplit/>
        </w:trPr>
        <w:tc>
          <w:tcPr>
            <w:tcW w:type="dxa" w:w="209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R26</w:t>
              <w:br/>
              <w:t>调研先进模型与基础模型</w:t>
            </w:r>
          </w:p>
        </w:tc>
        <w:tc>
          <w:tcPr>
            <w:tcW w:type="dxa" w:w="45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Qlib模型族、RD-Agent/AlphaGPT、Kronos原始仓库和论文；实际运行Kronos-mini本地检验</w:t>
            </w:r>
          </w:p>
        </w:tc>
        <w:tc>
          <w:tcPr>
            <w:tcW w:type="dxa" w:w="27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已完成有边界的调研和实测；未宣称穷尽全球模型</w:t>
            </w:r>
          </w:p>
        </w:tc>
      </w:tr>
      <w:tr>
        <w:trPr>
          <w:cantSplit/>
        </w:trPr>
        <w:tc>
          <w:tcPr>
            <w:tcW w:type="dxa" w:w="209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R27</w:t>
              <w:br/>
              <w:t>阅读Factor Timing与Factor Momentum</w:t>
            </w:r>
          </w:p>
        </w:tc>
        <w:tc>
          <w:tcPr>
            <w:tcW w:type="dxa" w:w="45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解释因子收益择时与个股动量区别；本地近似实验记录成功/失败；不冒充论文完整复现</w:t>
            </w:r>
          </w:p>
        </w:tc>
        <w:tc>
          <w:tcPr>
            <w:tcW w:type="dxa" w:w="27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已完成阅读与针对项目的实验</w:t>
            </w:r>
          </w:p>
        </w:tc>
      </w:tr>
      <w:tr>
        <w:trPr>
          <w:cantSplit/>
        </w:trPr>
        <w:tc>
          <w:tcPr>
            <w:tcW w:type="dxa" w:w="209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R28</w:t>
              <w:br/>
              <w:t>完整项目说明与精简汇报</w:t>
            </w:r>
          </w:p>
        </w:tc>
        <w:tc>
          <w:tcPr>
            <w:tcW w:type="dxa" w:w="45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完整说明文档、指标图表、复现命令、十分钟汇报稿、可核查日例</w:t>
            </w:r>
          </w:p>
        </w:tc>
        <w:tc>
          <w:tcPr>
            <w:tcW w:type="dxa" w:w="27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已生成文档并逐页验收</w:t>
            </w:r>
          </w:p>
        </w:tc>
      </w:tr>
      <w:tr>
        <w:trPr>
          <w:cantSplit/>
        </w:trPr>
        <w:tc>
          <w:tcPr>
            <w:tcW w:type="dxa" w:w="209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R29</w:t>
              <w:br/>
              <w:t>约老师详聊并分享代码/材料</w:t>
            </w:r>
          </w:p>
        </w:tc>
        <w:tc>
          <w:tcPr>
            <w:tcW w:type="dxa" w:w="45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可发送材料已备；列明需讨论的门槛口径、费率和数据问题</w:t>
            </w:r>
          </w:p>
        </w:tc>
        <w:tc>
          <w:tcPr>
            <w:tcW w:type="dxa" w:w="27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待本人安排；没有替用户发消息或约会</w:t>
            </w:r>
          </w:p>
        </w:tc>
      </w:tr>
      <w:tr>
        <w:trPr>
          <w:cantSplit/>
        </w:trPr>
        <w:tc>
          <w:tcPr>
            <w:tcW w:type="dxa" w:w="209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R30</w:t>
              <w:br/>
              <w:t>理解自己的方法、不要只读AI生成稿</w:t>
            </w:r>
          </w:p>
        </w:tc>
        <w:tc>
          <w:tcPr>
            <w:tcW w:type="dxa" w:w="45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标签、IC、HMM和现金账本手算例子与答辩问题，文档第15.1节</w:t>
            </w:r>
          </w:p>
        </w:tc>
        <w:tc>
          <w:tcPr>
            <w:tcW w:type="dxa" w:w="27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材料已备；个人掌握程度需本人演练</w:t>
            </w:r>
          </w:p>
        </w:tc>
      </w:tr>
    </w:tbl>
    <w:p>
      <w:pPr>
        <w:pStyle w:val="Caption"/>
        <w:spacing w:after="40" w:line="40" w:lineRule="exact"/>
      </w:pPr>
    </w:p>
    <w:p>
      <w:r>
        <w:t>没有代替用户向老师或同学发送消息、提交材料或安排会议。相关外部沟通事项由用户自行决定；本次交付已准备可审阅的材料。</w:t>
      </w:r>
    </w:p>
    <w:p>
      <w:pPr>
        <w:pStyle w:val="Heading1"/>
        <w:pageBreakBefore/>
      </w:pPr>
      <w:r>
        <w:t>15  冻结、复现与下一轮验收</w:t>
      </w:r>
    </w:p>
    <w:p>
      <w:r>
        <w:t>每个期限已导出最终候选参数、最新季度模型、模型/输入哈希和10月9日收盘排名。最新排序对应下一交易时段，属于研究输出，未向券商下单。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4118"/>
        <w:gridCol w:w="5242"/>
      </w:tblGrid>
      <w:tr>
        <w:trPr>
          <w:cantSplit/>
          <w:tblHeader/>
        </w:trPr>
        <w:tc>
          <w:tcPr>
            <w:tcW w:type="dxa" w:w="411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8"/>
              </w:rPr>
              <w:t>文件/目录</w:t>
            </w:r>
          </w:p>
        </w:tc>
        <w:tc>
          <w:tcPr>
            <w:tcW w:type="dxa" w:w="52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411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tools/research_20261011</w:t>
            </w:r>
          </w:p>
        </w:tc>
        <w:tc>
          <w:tcPr>
            <w:tcW w:type="dxa" w:w="52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全部新增研究、Jev、测试和文档生成代码</w:t>
            </w:r>
          </w:p>
        </w:tc>
      </w:tr>
      <w:tr>
        <w:trPr>
          <w:cantSplit/>
        </w:trPr>
        <w:tc>
          <w:tcPr>
            <w:tcW w:type="dxa" w:w="411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training_runs/research_20261011/h*</w:t>
            </w:r>
          </w:p>
        </w:tc>
        <w:tc>
          <w:tcPr>
            <w:tcW w:type="dxa" w:w="52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各折训练记录、固定对照、探索网格、连续账本、候选压力检验</w:t>
            </w:r>
          </w:p>
        </w:tc>
      </w:tr>
      <w:tr>
        <w:trPr>
          <w:cantSplit/>
        </w:trPr>
        <w:tc>
          <w:tcPr>
            <w:tcW w:type="dxa" w:w="411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h*/frozen_release.json</w:t>
            </w:r>
          </w:p>
        </w:tc>
        <w:tc>
          <w:tcPr>
            <w:tcW w:type="dxa" w:w="52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冻结日期、模型/风险参数、预测与持有期限、哈希</w:t>
            </w:r>
          </w:p>
        </w:tc>
      </w:tr>
      <w:tr>
        <w:trPr>
          <w:cantSplit/>
        </w:trPr>
        <w:tc>
          <w:tcPr>
            <w:tcW w:type="dxa" w:w="411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h*/frozen_latest_ranking.csv</w:t>
            </w:r>
          </w:p>
        </w:tc>
        <w:tc>
          <w:tcPr>
            <w:tcW w:type="dxa" w:w="52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10月9日收盘评分、排名与风险上限；不是成交保证</w:t>
            </w:r>
          </w:p>
        </w:tc>
      </w:tr>
      <w:tr>
        <w:trPr>
          <w:cantSplit/>
        </w:trPr>
        <w:tc>
          <w:tcPr>
            <w:tcW w:type="dxa" w:w="411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missing_files.csv / missing_fields_and_documents.csv</w:t>
            </w:r>
          </w:p>
        </w:tc>
        <w:tc>
          <w:tcPr>
            <w:tcW w:type="dxa" w:w="52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逐路径日期缺口和缺失字段/资料</w:t>
            </w:r>
          </w:p>
        </w:tc>
      </w:tr>
      <w:tr>
        <w:trPr>
          <w:cantSplit/>
        </w:trPr>
        <w:tc>
          <w:tcPr>
            <w:tcW w:type="dxa" w:w="411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requirements_matrix.csv / sources.md</w:t>
            </w:r>
          </w:p>
        </w:tc>
        <w:tc>
          <w:tcPr>
            <w:tcW w:type="dxa" w:w="52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30项要求验收和原始来源</w:t>
            </w:r>
          </w:p>
        </w:tc>
      </w:tr>
      <w:tr>
        <w:trPr>
          <w:cantSplit/>
        </w:trPr>
        <w:tc>
          <w:tcPr>
            <w:tcW w:type="dxa" w:w="411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artifact_checks.json / verification.json</w:t>
            </w:r>
          </w:p>
        </w:tc>
        <w:tc>
          <w:tcPr>
            <w:tcW w:type="dxa" w:w="52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8"/>
              </w:rPr>
              <w:t>真实结果检查及9项合成测试</w:t>
            </w:r>
          </w:p>
        </w:tc>
      </w:tr>
    </w:tbl>
    <w:p>
      <w:pPr>
        <w:pStyle w:val="Caption"/>
        <w:spacing w:after="40" w:line="40" w:lineRule="exact"/>
      </w:pPr>
    </w:p>
    <w:p>
      <w:r>
        <w:t>本地复现：powershell -ExecutionPolicy Bypass -File tools/research_20261011/run_local.ps1。默认不联网；-Sync才只读访问SFTP。Jev仍只生成离线样例。Kronos公开权重推理、文档生成与规范渲染分别执行，详见代码README。</w:t>
      </w:r>
    </w:p>
    <w:p>
      <w:r>
        <w:t>前瞻验收建议冻结至少126个交易日：固定参数，仅按已约定的季度模型/月度HMM频率更新；评价期间不看亏损后改风险阈值。若再次优化，另建研究版本。同步补齐发布时点、证券主表和真实成交规则，才能把历史条件性结果升级为更强的可执行证据。</w:t>
      </w:r>
    </w:p>
    <w:p>
      <w:r>
        <w:t>本轮完成的是可重跑的研究模型、真实本地实验、缺口清单与完整说明。未来收益、真实Jev效果、实盘成交和外部数据补齐不能通过修改回测数字提前完成。</w:t>
      </w:r>
    </w:p>
    <w:p>
      <w:pPr>
        <w:pStyle w:val="Heading1"/>
        <w:pageBreakBefore/>
      </w:pPr>
      <w:r>
        <w:t>15.1  能手算，才能解释模型</w:t>
      </w:r>
    </w:p>
    <w:p>
      <w:r>
        <w:t>以下数值为教学例子，不是实际股票收益。实际日期与评分示例见下一页。</w:t>
      </w:r>
    </w:p>
    <w:p>
      <w:pPr>
        <w:pStyle w:val="Heading2"/>
      </w:pPr>
      <w:r>
        <w:t>IC为什么可能是负的</w:t>
      </w:r>
    </w:p>
    <w:p>
      <w:r>
        <w:t>四只股票的因子排名为[1,2,3,4]，未来收益排名为[4,1,2,3]。无并列排名时，RankIC=1−6×Σ(排名差²)/(n×(n²−1))=1−6×12/(4×15)=−0.20。负号表示因子越大，未来相对排名倾向越差；带符号IC组合会反向使用，不是简单删除。真实研究对每个交易日先算截面IC，再平均。</w:t>
      </w:r>
    </w:p>
    <w:p>
      <w:pPr>
        <w:pStyle w:val="Heading2"/>
      </w:pPr>
      <w:r>
        <w:t>T+1与费用怎样进入账本</w:t>
      </w:r>
    </w:p>
    <w:p>
      <w:r>
        <w:t>信号在t日收盘形成，最早t+1开盘买。1日模型用t+1开盘→t+2开盘的标签；5日模型用t+1开盘→t+5收盘。若标签终点跨过训练截止点，这条训练样本要剔除。</w:t>
      </w:r>
    </w:p>
    <w:p>
      <w:r>
        <w:t>初始现金1,000,000元，买100股×10元，每边5bp：买入费0.50元，剩余现金998,999.50元。收盘10.20元时，股票市值1,020元，净值1,000,019.50元。下一交易日以10.50元全部卖出，卖出费0.525元，最终现金1,000,048.975元，净赚48.975元。当天买入不能当天卖出；实际还检查成交量、价格及股数限制。</w:t>
      </w:r>
    </w:p>
    <w:p>
      <w:pPr>
        <w:pStyle w:val="Heading2"/>
      </w:pPr>
      <w:r>
        <w:t>HMM怎样变成次日风险上限</w:t>
      </w:r>
    </w:p>
    <w:p>
      <w:r>
        <w:t>两状态教学例：昨日后验[0.7,0.3]，转移矩阵两行为[0.9,0.1]和[0.2,0.8]，今日先验=[0.69,0.31]。今日观测在两状态下的似然为[0.8,0.2]，归一化后验≈[0.8990,0.1010]。再乘转移矩阵得到次日概率≈[0.8293,0.1707]。假设训练得到两状态风险上限[1,0.1]，概率加权约0.8464，再乘0.25风险缩放得到约21.16%。实际模型的状态上限由训练内统计确定。</w:t>
      </w:r>
    </w:p>
    <w:p>
      <w:pPr>
        <w:pStyle w:val="Heading2"/>
      </w:pPr>
      <w:r>
        <w:t>Calmar为什么不能用两年总收益直接除</w:t>
      </w:r>
    </w:p>
    <w:p>
      <w:r>
        <w:t>假设一年净值从100到120，中途峰值120跌到114：最大回撤5%，年收益20%，Calmar=4。若120是两年后终值，年化收益变为√1.2−1≈9.54%，Calmar≈1.91。相同总收益不能混用不同区间的分母和年化口径。</w:t>
      </w:r>
    </w:p>
    <w:p>
      <w:pPr>
        <w:pStyle w:val="Heading1"/>
        <w:pageBreakBefore/>
      </w:pPr>
      <w:r>
        <w:t>15.2  真实单日输出与答辩核对</w:t>
      </w:r>
    </w:p>
    <w:p>
      <w:r>
        <w:t>以下来自5日历史候选在2026年10月9日收盘后的真实输出。IC是已训练的因子加权评分，不是单只股票上涨概率，也不是未来收益百分比。10月12日尚未有本快照中的成交行情，因而这里只展示决策输入。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123"/>
        <w:gridCol w:w="2621"/>
        <w:gridCol w:w="2621"/>
        <w:gridCol w:w="2995"/>
      </w:tblGrid>
      <w:tr>
        <w:trPr>
          <w:cantSplit/>
          <w:tblHeader/>
        </w:trPr>
        <w:tc>
          <w:tcPr>
            <w:tcW w:type="dxa" w:w="11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排名</w:t>
            </w:r>
          </w:p>
        </w:tc>
        <w:tc>
          <w:tcPr>
            <w:tcW w:type="dxa" w:w="262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股票代码</w:t>
            </w:r>
          </w:p>
        </w:tc>
        <w:tc>
          <w:tcPr>
            <w:tcW w:type="dxa" w:w="262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IC组合评分</w:t>
            </w:r>
          </w:p>
        </w:tc>
        <w:tc>
          <w:tcPr>
            <w:tcW w:type="dxa" w:w="29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组合风险上限</w:t>
            </w:r>
          </w:p>
        </w:tc>
      </w:tr>
      <w:tr>
        <w:trPr>
          <w:cantSplit/>
        </w:trPr>
        <w:tc>
          <w:tcPr>
            <w:tcW w:type="dxa" w:w="11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62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BJ920493</w:t>
            </w:r>
          </w:p>
        </w:tc>
        <w:tc>
          <w:tcPr>
            <w:tcW w:type="dxa" w:w="262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0.3169</w:t>
            </w:r>
          </w:p>
        </w:tc>
        <w:tc>
          <w:tcPr>
            <w:tcW w:type="dxa" w:w="29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1.65%</w:t>
            </w:r>
          </w:p>
        </w:tc>
      </w:tr>
      <w:tr>
        <w:trPr>
          <w:cantSplit/>
        </w:trPr>
        <w:tc>
          <w:tcPr>
            <w:tcW w:type="dxa" w:w="11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62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BJ920808</w:t>
            </w:r>
          </w:p>
        </w:tc>
        <w:tc>
          <w:tcPr>
            <w:tcW w:type="dxa" w:w="262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0.3034</w:t>
            </w:r>
          </w:p>
        </w:tc>
        <w:tc>
          <w:tcPr>
            <w:tcW w:type="dxa" w:w="29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1.65%</w:t>
            </w:r>
          </w:p>
        </w:tc>
      </w:tr>
      <w:tr>
        <w:trPr>
          <w:cantSplit/>
        </w:trPr>
        <w:tc>
          <w:tcPr>
            <w:tcW w:type="dxa" w:w="11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62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BJ920186</w:t>
            </w:r>
          </w:p>
        </w:tc>
        <w:tc>
          <w:tcPr>
            <w:tcW w:type="dxa" w:w="262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0.3017</w:t>
            </w:r>
          </w:p>
        </w:tc>
        <w:tc>
          <w:tcPr>
            <w:tcW w:type="dxa" w:w="29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1.65%</w:t>
            </w:r>
          </w:p>
        </w:tc>
      </w:tr>
      <w:tr>
        <w:trPr>
          <w:cantSplit/>
        </w:trPr>
        <w:tc>
          <w:tcPr>
            <w:tcW w:type="dxa" w:w="11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62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BJ920178</w:t>
            </w:r>
          </w:p>
        </w:tc>
        <w:tc>
          <w:tcPr>
            <w:tcW w:type="dxa" w:w="262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0.2957</w:t>
            </w:r>
          </w:p>
        </w:tc>
        <w:tc>
          <w:tcPr>
            <w:tcW w:type="dxa" w:w="29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1.65%</w:t>
            </w:r>
          </w:p>
        </w:tc>
      </w:tr>
      <w:tr>
        <w:trPr>
          <w:cantSplit/>
        </w:trPr>
        <w:tc>
          <w:tcPr>
            <w:tcW w:type="dxa" w:w="11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62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BJ920161</w:t>
            </w:r>
          </w:p>
        </w:tc>
        <w:tc>
          <w:tcPr>
            <w:tcW w:type="dxa" w:w="262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0.2932</w:t>
            </w:r>
          </w:p>
        </w:tc>
        <w:tc>
          <w:tcPr>
            <w:tcW w:type="dxa" w:w="29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1.65%</w:t>
            </w:r>
          </w:p>
        </w:tc>
      </w:tr>
    </w:tbl>
    <w:p>
      <w:pPr>
        <w:pStyle w:val="Caption"/>
        <w:spacing w:after="40" w:line="40" w:lineRule="exact"/>
      </w:pPr>
    </w:p>
    <w:p>
      <w:r>
        <w:t>该日组合上限约1.65%，低于完整回测平均实际持仓。最终买入需结合已有持仓、可用现金、各批次剩余期限、100股下限和成交容量；表中股票排名高，不等于一定买入，更不等于全仓买入。完整排序（交易规则取前20）和模型哈希保存在frozen_latest_ranking.csv与frozen_release.js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714"/>
        <w:gridCol w:w="6646"/>
      </w:tblGrid>
      <w:tr>
        <w:trPr>
          <w:cantSplit/>
          <w:tblHeader/>
        </w:trPr>
        <w:tc>
          <w:tcPr>
            <w:tcW w:type="dxa" w:w="27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老师可能追问</w:t>
            </w:r>
          </w:p>
        </w:tc>
        <w:tc>
          <w:tcPr>
            <w:tcW w:type="dxa" w:w="66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0F5"/>
          </w:tcPr>
          <w:p>
            <w:pPr>
              <w:spacing w:after="20" w:before="20" w:line="254" w:lineRule="auto"/>
            </w:pPr>
            <w:r>
              <w:rPr>
                <w:b/>
                <w:sz w:val="19"/>
              </w:rPr>
              <w:t>应能清楚说明</w:t>
            </w:r>
          </w:p>
        </w:tc>
      </w:tr>
      <w:tr>
        <w:trPr>
          <w:cantSplit/>
        </w:trPr>
        <w:tc>
          <w:tcPr>
            <w:tcW w:type="dxa" w:w="27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每天究竟更新什么？</w:t>
            </w:r>
          </w:p>
        </w:tc>
        <w:tc>
          <w:tcPr>
            <w:tcW w:type="dxa" w:w="66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每天更新池、特征和排名；主要模型季度重新训练，HMM月度重训。短窗口跟进实验另用月度监督模型。</w:t>
            </w:r>
          </w:p>
        </w:tc>
      </w:tr>
      <w:tr>
        <w:trPr>
          <w:cantSplit/>
        </w:trPr>
        <w:tc>
          <w:tcPr>
            <w:tcW w:type="dxa" w:w="27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HMM有效的证据是什么？</w:t>
            </w:r>
          </w:p>
        </w:tc>
        <w:tc>
          <w:tcPr>
            <w:tcW w:type="dxa" w:w="66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相同预测与相同成本，补平均敞口匹配对照；只支持本历史样本中的择时增益。</w:t>
            </w:r>
          </w:p>
        </w:tc>
      </w:tr>
      <w:tr>
        <w:trPr>
          <w:cantSplit/>
        </w:trPr>
        <w:tc>
          <w:tcPr>
            <w:tcW w:type="dxa" w:w="27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为什么回撤下降这么多？</w:t>
            </w:r>
          </w:p>
        </w:tc>
        <w:tc>
          <w:tcPr>
            <w:tcW w:type="dxa" w:w="66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平均持仓约6%—9%、现金占比高，HMM与缩放共同作用；并非满仓风险被神奇消除。</w:t>
            </w:r>
          </w:p>
        </w:tc>
      </w:tr>
      <w:tr>
        <w:trPr>
          <w:cantSplit/>
        </w:trPr>
        <w:tc>
          <w:tcPr>
            <w:tcW w:type="dxa" w:w="27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达到老师要求了吗？</w:t>
            </w:r>
          </w:p>
        </w:tc>
        <w:tc>
          <w:tcPr>
            <w:tcW w:type="dxa" w:w="66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完整历史探索候选达到两个数字，预定选择和近期稳定性验收尚未达到。</w:t>
            </w:r>
          </w:p>
        </w:tc>
      </w:tr>
      <w:tr>
        <w:trPr>
          <w:cantSplit/>
        </w:trPr>
        <w:tc>
          <w:tcPr>
            <w:tcW w:type="dxa" w:w="27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Jev现在能报准确率吗？</w:t>
            </w:r>
          </w:p>
        </w:tc>
        <w:tc>
          <w:tcPr>
            <w:tcW w:type="dxa" w:w="66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不能；目前只有接口及合成离线测试，还需真实文本、人工标签和校准。</w:t>
            </w:r>
          </w:p>
        </w:tc>
      </w:tr>
      <w:tr>
        <w:trPr>
          <w:cantSplit/>
        </w:trPr>
        <w:tc>
          <w:tcPr>
            <w:tcW w:type="dxa" w:w="271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下一步最有用的工作是什么？</w:t>
            </w:r>
          </w:p>
        </w:tc>
        <w:tc>
          <w:tcPr>
            <w:tcW w:type="dxa" w:w="66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before="20" w:line="254" w:lineRule="auto"/>
            </w:pPr>
            <w:r>
              <w:rPr>
                <w:b w:val="0"/>
                <w:sz w:val="19"/>
              </w:rPr>
              <w:t>补发布时间和证券主表，按固定规则积累前瞻数据；把近期失效作为研究问题。</w:t>
            </w:r>
          </w:p>
        </w:tc>
      </w:tr>
    </w:tbl>
    <w:p>
      <w:pPr>
        <w:pStyle w:val="Caption"/>
        <w:spacing w:after="40" w:line="40" w:lineRule="exact"/>
      </w:pPr>
    </w:p>
    <w:p>
      <w:pPr>
        <w:pStyle w:val="Heading1"/>
        <w:pageBreakBefore/>
      </w:pPr>
      <w:r>
        <w:t>16  主要来源与引用说明</w:t>
      </w:r>
    </w:p>
    <w:p>
      <w:hyperlink r:id="rId14">
        <w:r>
          <w:rPr>
            <w:color w:val="176B91"/>
          </w:rPr>
          <w:t>Qlib官方仓库及模型族</w:t>
        </w:r>
      </w:hyperlink>
    </w:p>
    <w:p>
      <w:hyperlink r:id="rId15">
        <w:r>
          <w:rPr>
            <w:color w:val="176B91"/>
          </w:rPr>
          <w:t>RD-Agent官方仓库</w:t>
        </w:r>
      </w:hyperlink>
    </w:p>
    <w:p>
      <w:hyperlink r:id="rId16">
        <w:r>
          <w:rPr>
            <w:color w:val="176B91"/>
          </w:rPr>
          <w:t>R&amp;D-Agent-Quant原始论文</w:t>
        </w:r>
      </w:hyperlink>
    </w:p>
    <w:p>
      <w:hyperlink r:id="rId17">
        <w:r>
          <w:rPr>
            <w:color w:val="176B91"/>
          </w:rPr>
          <w:t>Alpha-GPT 2.0原始论文</w:t>
        </w:r>
      </w:hyperlink>
    </w:p>
    <w:p>
      <w:hyperlink r:id="rId18">
        <w:r>
          <w:rPr>
            <w:color w:val="176B91"/>
          </w:rPr>
          <w:t>Kronos官方仓库</w:t>
        </w:r>
      </w:hyperlink>
    </w:p>
    <w:p>
      <w:hyperlink r:id="rId19">
        <w:r>
          <w:rPr>
            <w:color w:val="176B91"/>
          </w:rPr>
          <w:t>Kronos原始论文</w:t>
        </w:r>
      </w:hyperlink>
    </w:p>
    <w:p>
      <w:hyperlink r:id="rId20">
        <w:r>
          <w:rPr>
            <w:color w:val="176B91"/>
          </w:rPr>
          <w:t>Jev API契约</w:t>
        </w:r>
      </w:hyperlink>
    </w:p>
    <w:p>
      <w:hyperlink r:id="rId21">
        <w:r>
          <w:rPr>
            <w:color w:val="176B91"/>
          </w:rPr>
          <w:t>Jev模型版本说明</w:t>
        </w:r>
      </w:hyperlink>
    </w:p>
    <w:p>
      <w:hyperlink r:id="rId22">
        <w:r>
          <w:rPr>
            <w:color w:val="176B91"/>
          </w:rPr>
          <w:t>Factor Momentum and the Momentum Factor，2022</w:t>
        </w:r>
      </w:hyperlink>
    </w:p>
    <w:p>
      <w:hyperlink r:id="rId23">
        <w:r>
          <w:rPr>
            <w:color w:val="176B91"/>
          </w:rPr>
          <w:t>Factor Timing，NBER WP26708，2020</w:t>
        </w:r>
      </w:hyperlink>
    </w:p>
    <w:p>
      <w:hyperlink r:id="rId24">
        <w:r>
          <w:rPr>
            <w:color w:val="176B91"/>
          </w:rPr>
          <w:t>北交所2026年休市公告</w:t>
        </w:r>
      </w:hyperlink>
    </w:p>
    <w:p>
      <w:r>
        <w:t>本地依据：1009会议记录两段文字、项目规划.mm、任务6 HMM PDF、天软191因子算法手册、供应商registry及旧实验资料。原文件中的连接凭据不复制到报告。完整采用范围和版本说明见sources.md。</w:t>
      </w:r>
    </w:p>
    <w:p>
      <w:r>
        <w:t>报告所有收益来自本地生成的账户结果；外部论文、GitHub项目与供应商文档仅用于方法来源和接口核对。报告没有把第三方宣传成绩作为本项目绩效。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研究候选 · 连续账户 · 可复核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多期限选股研究  /  2026-10-09数据截止  /  2026-10-12交付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Arial" w:hAnsi="Arial" w:eastAsia="Microsoft YaHei"/>
      <w:b w:val="0"/>
      <w:color w:val="26374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4E7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74E7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59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4E7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59" w:lineRule="auto" w:after="120"/>
    </w:pPr>
    <w:rPr>
      <w:rFonts w:asciiTheme="majorHAnsi" w:eastAsiaTheme="majorEastAsia" w:hAnsiTheme="majorHAnsi" w:cstheme="majorBidi" w:ascii="Arial" w:hAnsi="Arial" w:eastAsia="Microsoft YaHei"/>
      <w:b w:val="0"/>
      <w:i/>
      <w:iCs/>
      <w:color w:val="60758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9" w:lineRule="auto" w:after="120"/>
    </w:pPr>
    <w:rPr>
      <w:rFonts w:ascii="Arial" w:hAnsi="Arial" w:eastAsia="Microsoft YaHei"/>
      <w:b w:val="0"/>
      <w:bCs/>
      <w:color w:val="6075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github.com/microsoft/qlib" TargetMode="External"/><Relationship Id="rId15" Type="http://schemas.openxmlformats.org/officeDocument/2006/relationships/hyperlink" Target="https://github.com/microsoft/RD-Agent" TargetMode="External"/><Relationship Id="rId16" Type="http://schemas.openxmlformats.org/officeDocument/2006/relationships/hyperlink" Target="https://arxiv.org/abs/2505.15155" TargetMode="External"/><Relationship Id="rId17" Type="http://schemas.openxmlformats.org/officeDocument/2006/relationships/hyperlink" Target="https://arxiv.org/abs/2402.09746" TargetMode="External"/><Relationship Id="rId18" Type="http://schemas.openxmlformats.org/officeDocument/2006/relationships/hyperlink" Target="https://github.com/shiyu-coder/Kronos" TargetMode="External"/><Relationship Id="rId19" Type="http://schemas.openxmlformats.org/officeDocument/2006/relationships/hyperlink" Target="https://arxiv.org/abs/2508.02739" TargetMode="External"/><Relationship Id="rId20" Type="http://schemas.openxmlformats.org/officeDocument/2006/relationships/hyperlink" Target="https://docs.typesafe.ai/api" TargetMode="External"/><Relationship Id="rId21" Type="http://schemas.openxmlformats.org/officeDocument/2006/relationships/hyperlink" Target="https://docs.typesafe.ai/models" TargetMode="External"/><Relationship Id="rId22" Type="http://schemas.openxmlformats.org/officeDocument/2006/relationships/hyperlink" Target="https://doi.org/10.1111/jofi.13131" TargetMode="External"/><Relationship Id="rId23" Type="http://schemas.openxmlformats.org/officeDocument/2006/relationships/hyperlink" Target="https://www.nber.org/system/files/working_papers/w26708/w26708.pdf" TargetMode="External"/><Relationship Id="rId24" Type="http://schemas.openxmlformats.org/officeDocument/2006/relationships/hyperlink" Target="https://www.bse.cn/important_news/200027428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