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AAA" w:rsidRPr="00296AAA" w:rsidRDefault="00296AAA" w:rsidP="00296AAA">
      <w:pPr>
        <w:rPr>
          <w:rFonts w:ascii="Times New Roman" w:eastAsia="Times New Roman" w:hAnsi="Times New Roman" w:cs="Times New Roman"/>
          <w:sz w:val="24"/>
          <w:szCs w:val="24"/>
        </w:rPr>
      </w:pPr>
      <w:r>
        <w:tab/>
      </w:r>
      <w:r w:rsidRPr="00296AAA">
        <w:rPr>
          <w:rFonts w:ascii="Times New Roman" w:eastAsia="Times New Roman" w:hAnsi="Times New Roman" w:cs="Times New Roman"/>
          <w:noProof/>
          <w:sz w:val="24"/>
          <w:szCs w:val="24"/>
        </w:rPr>
        <w:drawing>
          <wp:inline distT="0" distB="0" distL="0" distR="0">
            <wp:extent cx="8578215" cy="565785"/>
            <wp:effectExtent l="0" t="0" r="0" b="5715"/>
            <wp:docPr id="23" name="Picture 23"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8215" cy="565785"/>
                    </a:xfrm>
                    <a:prstGeom prst="rect">
                      <a:avLst/>
                    </a:prstGeom>
                    <a:noFill/>
                    <a:ln>
                      <a:noFill/>
                    </a:ln>
                  </pic:spPr>
                </pic:pic>
              </a:graphicData>
            </a:graphic>
          </wp:inline>
        </w:drawing>
      </w:r>
    </w:p>
    <w:p w:rsidR="00296AAA" w:rsidRPr="00296AAA" w:rsidRDefault="00296AAA" w:rsidP="00296A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noProof/>
          <w:color w:val="0000FF"/>
          <w:sz w:val="24"/>
          <w:szCs w:val="24"/>
        </w:rPr>
        <w:drawing>
          <wp:inline distT="0" distB="0" distL="0" distR="0">
            <wp:extent cx="489585" cy="239395"/>
            <wp:effectExtent l="0" t="0" r="5715" b="8255"/>
            <wp:docPr id="22" name="Picture 22" descr="prevSec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Sec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585" cy="239395"/>
                    </a:xfrm>
                    <a:prstGeom prst="rect">
                      <a:avLst/>
                    </a:prstGeom>
                    <a:noFill/>
                    <a:ln>
                      <a:noFill/>
                    </a:ln>
                  </pic:spPr>
                </pic:pic>
              </a:graphicData>
            </a:graphic>
          </wp:inline>
        </w:drawing>
      </w:r>
    </w:p>
    <w:p w:rsidR="00296AAA" w:rsidRPr="00296AAA" w:rsidRDefault="00296AAA" w:rsidP="00296A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noProof/>
          <w:color w:val="0000FF"/>
          <w:sz w:val="24"/>
          <w:szCs w:val="24"/>
        </w:rPr>
        <w:drawing>
          <wp:inline distT="0" distB="0" distL="0" distR="0">
            <wp:extent cx="489585" cy="239395"/>
            <wp:effectExtent l="0" t="0" r="5715" b="8255"/>
            <wp:docPr id="21" name="Picture 21" descr="prev">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 cy="239395"/>
                    </a:xfrm>
                    <a:prstGeom prst="rect">
                      <a:avLst/>
                    </a:prstGeom>
                    <a:noFill/>
                    <a:ln>
                      <a:noFill/>
                    </a:ln>
                  </pic:spPr>
                </pic:pic>
              </a:graphicData>
            </a:graphic>
          </wp:inline>
        </w:drawing>
      </w:r>
    </w:p>
    <w:p w:rsidR="00296AAA" w:rsidRPr="00296AAA" w:rsidRDefault="00296AAA" w:rsidP="00296A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noProof/>
          <w:color w:val="0000FF"/>
          <w:sz w:val="24"/>
          <w:szCs w:val="24"/>
        </w:rPr>
        <w:drawing>
          <wp:inline distT="0" distB="0" distL="0" distR="0">
            <wp:extent cx="489585" cy="239395"/>
            <wp:effectExtent l="0" t="0" r="5715" b="8255"/>
            <wp:docPr id="20" name="Picture 20" descr="nextSec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xtSec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 cy="239395"/>
                    </a:xfrm>
                    <a:prstGeom prst="rect">
                      <a:avLst/>
                    </a:prstGeom>
                    <a:noFill/>
                    <a:ln>
                      <a:noFill/>
                    </a:ln>
                  </pic:spPr>
                </pic:pic>
              </a:graphicData>
            </a:graphic>
          </wp:inline>
        </w:drawing>
      </w:r>
    </w:p>
    <w:p w:rsidR="00296AAA" w:rsidRPr="00296AAA" w:rsidRDefault="00296AAA" w:rsidP="00296A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noProof/>
          <w:sz w:val="24"/>
          <w:szCs w:val="24"/>
        </w:rPr>
        <w:drawing>
          <wp:inline distT="0" distB="0" distL="0" distR="0">
            <wp:extent cx="239395" cy="239395"/>
            <wp:effectExtent l="0" t="0" r="8255" b="8255"/>
            <wp:docPr id="19" name="Picture 19" descr="Navigation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395" cy="239395"/>
                    </a:xfrm>
                    <a:prstGeom prst="rect">
                      <a:avLst/>
                    </a:prstGeom>
                    <a:noFill/>
                    <a:ln>
                      <a:noFill/>
                    </a:ln>
                  </pic:spPr>
                </pic:pic>
              </a:graphicData>
            </a:graphic>
          </wp:inline>
        </w:drawing>
      </w:r>
    </w:p>
    <w:p w:rsidR="00296AAA" w:rsidRPr="00296AAA" w:rsidRDefault="00296AAA" w:rsidP="00296A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t>Database Design</w:t>
      </w:r>
    </w:p>
    <w:p w:rsidR="00296AAA" w:rsidRPr="00296AAA" w:rsidRDefault="00296AAA" w:rsidP="00296A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noProof/>
          <w:sz w:val="24"/>
          <w:szCs w:val="24"/>
        </w:rPr>
        <w:drawing>
          <wp:inline distT="0" distB="0" distL="0" distR="0">
            <wp:extent cx="239395" cy="239395"/>
            <wp:effectExtent l="0" t="0" r="8255" b="8255"/>
            <wp:docPr id="18" name="Picture 18" descr="Navigation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395" cy="239395"/>
                    </a:xfrm>
                    <a:prstGeom prst="rect">
                      <a:avLst/>
                    </a:prstGeom>
                    <a:noFill/>
                    <a:ln>
                      <a:noFill/>
                    </a:ln>
                  </pic:spPr>
                </pic:pic>
              </a:graphicData>
            </a:graphic>
          </wp:inline>
        </w:drawing>
      </w:r>
    </w:p>
    <w:p w:rsidR="00296AAA" w:rsidRPr="00296AAA" w:rsidRDefault="00296AAA" w:rsidP="00296A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t>Terms Of Reference</w:t>
      </w:r>
    </w:p>
    <w:p w:rsidR="00296AAA" w:rsidRPr="00296AAA" w:rsidRDefault="00296AAA" w:rsidP="00296A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noProof/>
          <w:sz w:val="24"/>
          <w:szCs w:val="24"/>
        </w:rPr>
        <w:drawing>
          <wp:inline distT="0" distB="0" distL="0" distR="0">
            <wp:extent cx="239395" cy="239395"/>
            <wp:effectExtent l="0" t="0" r="8255" b="8255"/>
            <wp:docPr id="17" name="Picture 17" descr="Navigation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395" cy="239395"/>
                    </a:xfrm>
                    <a:prstGeom prst="rect">
                      <a:avLst/>
                    </a:prstGeom>
                    <a:noFill/>
                    <a:ln>
                      <a:noFill/>
                    </a:ln>
                  </pic:spPr>
                </pic:pic>
              </a:graphicData>
            </a:graphic>
          </wp:inline>
        </w:drawing>
      </w:r>
    </w:p>
    <w:p w:rsidR="00296AAA" w:rsidRPr="00296AAA" w:rsidRDefault="00296AAA" w:rsidP="00296A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t>Keys</w:t>
      </w:r>
    </w:p>
    <w:p w:rsidR="00296AAA" w:rsidRPr="00296AAA" w:rsidRDefault="00296AAA" w:rsidP="00296AAA">
      <w:pPr>
        <w:spacing w:after="0"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noProof/>
          <w:color w:val="0000FF"/>
          <w:sz w:val="24"/>
          <w:szCs w:val="24"/>
        </w:rPr>
        <w:drawing>
          <wp:inline distT="0" distB="0" distL="0" distR="0">
            <wp:extent cx="489585" cy="239395"/>
            <wp:effectExtent l="0" t="0" r="5715" b="8255"/>
            <wp:docPr id="16" name="Picture 16" descr="nex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x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 cy="239395"/>
                    </a:xfrm>
                    <a:prstGeom prst="rect">
                      <a:avLst/>
                    </a:prstGeom>
                    <a:noFill/>
                    <a:ln>
                      <a:noFill/>
                    </a:ln>
                  </pic:spPr>
                </pic:pic>
              </a:graphicData>
            </a:graphic>
          </wp:inline>
        </w:drawing>
      </w:r>
      <w:r w:rsidRPr="00296AAA">
        <w:rPr>
          <w:rFonts w:ascii="Times New Roman" w:eastAsia="Times New Roman" w:hAnsi="Times New Roman" w:cs="Times New Roman"/>
          <w:noProof/>
          <w:color w:val="0000FF"/>
          <w:sz w:val="24"/>
          <w:szCs w:val="24"/>
        </w:rPr>
        <w:drawing>
          <wp:inline distT="0" distB="0" distL="0" distR="0">
            <wp:extent cx="489585" cy="239395"/>
            <wp:effectExtent l="0" t="0" r="5715" b="8255"/>
            <wp:docPr id="15" name="Picture 15" descr="nextSec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xtSection">
                      <a:hlinkClick r:id="rId1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 cy="239395"/>
                    </a:xfrm>
                    <a:prstGeom prst="rect">
                      <a:avLst/>
                    </a:prstGeom>
                    <a:noFill/>
                    <a:ln>
                      <a:noFill/>
                    </a:ln>
                  </pic:spPr>
                </pic:pic>
              </a:graphicData>
            </a:graphic>
          </wp:inline>
        </w:drawing>
      </w:r>
    </w:p>
    <w:p w:rsidR="00296AAA" w:rsidRPr="00296AAA" w:rsidRDefault="00296AAA" w:rsidP="00296A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noProof/>
          <w:color w:val="0000FF"/>
          <w:sz w:val="24"/>
          <w:szCs w:val="24"/>
        </w:rPr>
        <w:drawing>
          <wp:inline distT="0" distB="0" distL="0" distR="0">
            <wp:extent cx="478790" cy="478790"/>
            <wp:effectExtent l="0" t="0" r="0" b="0"/>
            <wp:docPr id="14" name="Picture 14" descr="Vide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deo">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296AAA" w:rsidRPr="00296AAA" w:rsidRDefault="00296AAA" w:rsidP="00296A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noProof/>
          <w:color w:val="0000FF"/>
          <w:sz w:val="24"/>
          <w:szCs w:val="24"/>
        </w:rPr>
        <w:drawing>
          <wp:inline distT="0" distB="0" distL="0" distR="0">
            <wp:extent cx="478790" cy="478790"/>
            <wp:effectExtent l="0" t="0" r="0" b="0"/>
            <wp:docPr id="13" name="Picture 13" descr="Audi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udio">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296AAA" w:rsidRPr="00296AAA" w:rsidRDefault="00296AAA" w:rsidP="00296A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noProof/>
          <w:color w:val="0000FF"/>
          <w:sz w:val="24"/>
          <w:szCs w:val="24"/>
        </w:rPr>
        <w:drawing>
          <wp:inline distT="0" distB="0" distL="0" distR="0">
            <wp:extent cx="478790" cy="478790"/>
            <wp:effectExtent l="0" t="0" r="0" b="0"/>
            <wp:docPr id="12" name="Picture 12" descr="Tex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296AAA" w:rsidRPr="00296AAA" w:rsidRDefault="00296AAA" w:rsidP="00296AA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96AAA">
        <w:rPr>
          <w:rFonts w:ascii="Times New Roman" w:eastAsia="Times New Roman" w:hAnsi="Times New Roman" w:cs="Times New Roman"/>
          <w:b/>
          <w:bCs/>
          <w:kern w:val="36"/>
          <w:sz w:val="48"/>
          <w:szCs w:val="48"/>
        </w:rPr>
        <w:t>Database Keys</w:t>
      </w:r>
    </w:p>
    <w:p w:rsidR="00296AAA" w:rsidRPr="00296AAA" w:rsidRDefault="00296AAA" w:rsidP="00296AAA">
      <w:pPr>
        <w:spacing w:before="100" w:beforeAutospacing="1" w:after="100" w:afterAutospacing="1" w:line="240" w:lineRule="auto"/>
        <w:outlineLvl w:val="2"/>
        <w:rPr>
          <w:rFonts w:ascii="Times New Roman" w:eastAsia="Times New Roman" w:hAnsi="Times New Roman" w:cs="Times New Roman"/>
          <w:b/>
          <w:bCs/>
          <w:sz w:val="27"/>
          <w:szCs w:val="27"/>
        </w:rPr>
      </w:pPr>
      <w:r w:rsidRPr="00296AAA">
        <w:rPr>
          <w:rFonts w:ascii="Times New Roman" w:eastAsia="Times New Roman" w:hAnsi="Times New Roman" w:cs="Times New Roman"/>
          <w:b/>
          <w:bCs/>
          <w:sz w:val="27"/>
          <w:szCs w:val="27"/>
        </w:rPr>
        <w:t>Introduction</w:t>
      </w:r>
    </w:p>
    <w:p w:rsidR="00296AAA" w:rsidRPr="00296AAA" w:rsidRDefault="00296AAA" w:rsidP="00296AAA">
      <w:p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t xml:space="preserve">For the purposes of clarity we will refer to keys in terms of RDBMS tables but the same definition, principle and naming applies equally to Entity Modelling and </w:t>
      </w:r>
      <w:proofErr w:type="spellStart"/>
      <w:r w:rsidRPr="00296AAA">
        <w:rPr>
          <w:rFonts w:ascii="Times New Roman" w:eastAsia="Times New Roman" w:hAnsi="Times New Roman" w:cs="Times New Roman"/>
          <w:sz w:val="24"/>
          <w:szCs w:val="24"/>
        </w:rPr>
        <w:t>Normalisation</w:t>
      </w:r>
      <w:proofErr w:type="spellEnd"/>
      <w:r w:rsidRPr="00296AAA">
        <w:rPr>
          <w:rFonts w:ascii="Times New Roman" w:eastAsia="Times New Roman" w:hAnsi="Times New Roman" w:cs="Times New Roman"/>
          <w:sz w:val="24"/>
          <w:szCs w:val="24"/>
        </w:rPr>
        <w:t xml:space="preserve">. </w:t>
      </w:r>
    </w:p>
    <w:p w:rsidR="00296AAA" w:rsidRPr="00296AAA" w:rsidRDefault="00296AAA" w:rsidP="00296AAA">
      <w:p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t xml:space="preserve">Keys are, as their name suggests, a key part of a relational database and a vital part of the structure of a table. They ensure each record within a table can be uniquely identified by one or a combination of fields within the table. They help enforce integrity and help identify the relationship between tables. There are three main types of keys, candidate keys, primary keys and foreign keys. There is also an alternative key or secondary key that can be used, as the name suggests, as a secondary or alternative key to the primary key </w:t>
      </w:r>
    </w:p>
    <w:p w:rsidR="00296AAA" w:rsidRPr="00296AAA" w:rsidRDefault="00296AAA" w:rsidP="00296AAA">
      <w:pPr>
        <w:spacing w:before="100" w:beforeAutospacing="1" w:after="100" w:afterAutospacing="1" w:line="240" w:lineRule="auto"/>
        <w:outlineLvl w:val="2"/>
        <w:rPr>
          <w:rFonts w:ascii="Times New Roman" w:eastAsia="Times New Roman" w:hAnsi="Times New Roman" w:cs="Times New Roman"/>
          <w:b/>
          <w:bCs/>
          <w:sz w:val="27"/>
          <w:szCs w:val="27"/>
        </w:rPr>
      </w:pPr>
      <w:r w:rsidRPr="00296AAA">
        <w:rPr>
          <w:rFonts w:ascii="Times New Roman" w:eastAsia="Times New Roman" w:hAnsi="Times New Roman" w:cs="Times New Roman"/>
          <w:b/>
          <w:bCs/>
          <w:sz w:val="27"/>
          <w:szCs w:val="27"/>
        </w:rPr>
        <w:t>Super Key</w:t>
      </w:r>
    </w:p>
    <w:p w:rsidR="00296AAA" w:rsidRPr="00296AAA" w:rsidRDefault="00296AAA" w:rsidP="00296AAA">
      <w:p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lastRenderedPageBreak/>
        <w:t xml:space="preserve">A Super key is any combination of fields within a table that uniquely identifies each record within that table. </w:t>
      </w:r>
    </w:p>
    <w:p w:rsidR="00296AAA" w:rsidRPr="00296AAA" w:rsidRDefault="00296AAA" w:rsidP="00296AAA">
      <w:pPr>
        <w:spacing w:before="100" w:beforeAutospacing="1" w:after="100" w:afterAutospacing="1" w:line="240" w:lineRule="auto"/>
        <w:outlineLvl w:val="2"/>
        <w:rPr>
          <w:rFonts w:ascii="Times New Roman" w:eastAsia="Times New Roman" w:hAnsi="Times New Roman" w:cs="Times New Roman"/>
          <w:b/>
          <w:bCs/>
          <w:sz w:val="27"/>
          <w:szCs w:val="27"/>
        </w:rPr>
      </w:pPr>
      <w:r w:rsidRPr="00296AAA">
        <w:rPr>
          <w:rFonts w:ascii="Times New Roman" w:eastAsia="Times New Roman" w:hAnsi="Times New Roman" w:cs="Times New Roman"/>
          <w:b/>
          <w:bCs/>
          <w:sz w:val="27"/>
          <w:szCs w:val="27"/>
        </w:rPr>
        <w:t>Candidate Key</w:t>
      </w:r>
    </w:p>
    <w:p w:rsidR="00296AAA" w:rsidRPr="00296AAA" w:rsidRDefault="00296AAA" w:rsidP="00296AAA">
      <w:p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t xml:space="preserve">A candidate is a subset of a super key. A candidate key is a single field or the least combination of fields that uniquely identifies each record in the table. The least combination of fields distinguishes a candidate key from a super key. Every table must have at least one candidate key but at the same time can have several. </w:t>
      </w:r>
    </w:p>
    <w:p w:rsidR="00296AAA" w:rsidRPr="00296AAA" w:rsidRDefault="00296AAA" w:rsidP="00296AAA">
      <w:pPr>
        <w:spacing w:after="0"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noProof/>
          <w:sz w:val="24"/>
          <w:szCs w:val="24"/>
        </w:rPr>
        <w:drawing>
          <wp:inline distT="0" distB="0" distL="0" distR="0">
            <wp:extent cx="7315200" cy="4702810"/>
            <wp:effectExtent l="0" t="0" r="0" b="2540"/>
            <wp:docPr id="11" name="Picture 11" descr="Candidate K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ndidate Ka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15200" cy="4702810"/>
                    </a:xfrm>
                    <a:prstGeom prst="rect">
                      <a:avLst/>
                    </a:prstGeom>
                    <a:noFill/>
                    <a:ln>
                      <a:noFill/>
                    </a:ln>
                  </pic:spPr>
                </pic:pic>
              </a:graphicData>
            </a:graphic>
          </wp:inline>
        </w:drawing>
      </w:r>
    </w:p>
    <w:p w:rsidR="00296AAA" w:rsidRPr="00296AAA" w:rsidRDefault="00296AAA" w:rsidP="00296AAA">
      <w:p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t xml:space="preserve">As an example we might have a </w:t>
      </w:r>
      <w:proofErr w:type="spellStart"/>
      <w:r w:rsidRPr="00296AAA">
        <w:rPr>
          <w:rFonts w:ascii="Times New Roman" w:eastAsia="Times New Roman" w:hAnsi="Times New Roman" w:cs="Times New Roman"/>
          <w:sz w:val="24"/>
          <w:szCs w:val="24"/>
        </w:rPr>
        <w:t>student_id</w:t>
      </w:r>
      <w:proofErr w:type="spellEnd"/>
      <w:r w:rsidRPr="00296AAA">
        <w:rPr>
          <w:rFonts w:ascii="Times New Roman" w:eastAsia="Times New Roman" w:hAnsi="Times New Roman" w:cs="Times New Roman"/>
          <w:sz w:val="24"/>
          <w:szCs w:val="24"/>
        </w:rPr>
        <w:t xml:space="preserve"> that uniquely identifies the students in a student table. This would be a candidate key. But in the same table we might have the student’s first name and last name that also, when combined, uniquely identify the student in a student table. These would both be candidate keys. </w:t>
      </w:r>
    </w:p>
    <w:p w:rsidR="00296AAA" w:rsidRPr="00296AAA" w:rsidRDefault="00296AAA" w:rsidP="00296AAA">
      <w:p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t xml:space="preserve">In order to be eligible for a candidate key it must pass certain criteria. </w:t>
      </w:r>
    </w:p>
    <w:p w:rsidR="00296AAA" w:rsidRPr="00296AAA" w:rsidRDefault="00296AAA" w:rsidP="00296A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t>It must contain unique values</w:t>
      </w:r>
    </w:p>
    <w:p w:rsidR="00296AAA" w:rsidRPr="00296AAA" w:rsidRDefault="00296AAA" w:rsidP="00296A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lastRenderedPageBreak/>
        <w:t>It must not contain null values</w:t>
      </w:r>
    </w:p>
    <w:p w:rsidR="00296AAA" w:rsidRPr="00296AAA" w:rsidRDefault="00296AAA" w:rsidP="00296A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t>It contains the minimum number of fields to ensure uniqueness</w:t>
      </w:r>
    </w:p>
    <w:p w:rsidR="00296AAA" w:rsidRPr="00296AAA" w:rsidRDefault="00296AAA" w:rsidP="00296A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t>It must uniquely identify each record in the table</w:t>
      </w:r>
    </w:p>
    <w:p w:rsidR="00296AAA" w:rsidRPr="00296AAA" w:rsidRDefault="00296AAA" w:rsidP="00296AAA">
      <w:p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t xml:space="preserve">Once your candidate keys have been identified you can now select one to be your primary key </w:t>
      </w:r>
    </w:p>
    <w:p w:rsidR="00296AAA" w:rsidRPr="00296AAA" w:rsidRDefault="00296AAA" w:rsidP="00296AAA">
      <w:pPr>
        <w:spacing w:before="100" w:beforeAutospacing="1" w:after="100" w:afterAutospacing="1" w:line="240" w:lineRule="auto"/>
        <w:outlineLvl w:val="2"/>
        <w:rPr>
          <w:rFonts w:ascii="Times New Roman" w:eastAsia="Times New Roman" w:hAnsi="Times New Roman" w:cs="Times New Roman"/>
          <w:b/>
          <w:bCs/>
          <w:sz w:val="27"/>
          <w:szCs w:val="27"/>
        </w:rPr>
      </w:pPr>
      <w:r w:rsidRPr="00296AAA">
        <w:rPr>
          <w:rFonts w:ascii="Times New Roman" w:eastAsia="Times New Roman" w:hAnsi="Times New Roman" w:cs="Times New Roman"/>
          <w:b/>
          <w:bCs/>
          <w:sz w:val="27"/>
          <w:szCs w:val="27"/>
        </w:rPr>
        <w:t>Primary Key</w:t>
      </w:r>
    </w:p>
    <w:p w:rsidR="00296AAA" w:rsidRPr="00296AAA" w:rsidRDefault="00296AAA" w:rsidP="00296AAA">
      <w:p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t xml:space="preserve">A primary key is a candidate key that is most appropriate to be the main reference key for the table. As its name suggests, it is the primary key of reference for the table and is used throughout the database to help establish relationships with other tables. As with any candidate key the primary key must contain unique values, must never be null and uniquely identify each record in the table. </w:t>
      </w:r>
    </w:p>
    <w:p w:rsidR="00296AAA" w:rsidRPr="00296AAA" w:rsidRDefault="00296AAA" w:rsidP="00296AAA">
      <w:p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t xml:space="preserve">As an example, a student id might be a primary key in a student table, a department code in a table of all departments in an </w:t>
      </w:r>
      <w:proofErr w:type="spellStart"/>
      <w:r w:rsidRPr="00296AAA">
        <w:rPr>
          <w:rFonts w:ascii="Times New Roman" w:eastAsia="Times New Roman" w:hAnsi="Times New Roman" w:cs="Times New Roman"/>
          <w:sz w:val="24"/>
          <w:szCs w:val="24"/>
        </w:rPr>
        <w:t>organisation</w:t>
      </w:r>
      <w:proofErr w:type="spellEnd"/>
      <w:r w:rsidRPr="00296AAA">
        <w:rPr>
          <w:rFonts w:ascii="Times New Roman" w:eastAsia="Times New Roman" w:hAnsi="Times New Roman" w:cs="Times New Roman"/>
          <w:sz w:val="24"/>
          <w:szCs w:val="24"/>
        </w:rPr>
        <w:t xml:space="preserve">. This module has the code DH3D 35 that is no doubt used in a database somewhere to identify RDBMS as a unit in a table of modules. In the table below we have selected the candidate key </w:t>
      </w:r>
      <w:proofErr w:type="spellStart"/>
      <w:r w:rsidRPr="00296AAA">
        <w:rPr>
          <w:rFonts w:ascii="Times New Roman" w:eastAsia="Times New Roman" w:hAnsi="Times New Roman" w:cs="Times New Roman"/>
          <w:sz w:val="24"/>
          <w:szCs w:val="24"/>
        </w:rPr>
        <w:t>student_id</w:t>
      </w:r>
      <w:proofErr w:type="spellEnd"/>
      <w:r w:rsidRPr="00296AAA">
        <w:rPr>
          <w:rFonts w:ascii="Times New Roman" w:eastAsia="Times New Roman" w:hAnsi="Times New Roman" w:cs="Times New Roman"/>
          <w:sz w:val="24"/>
          <w:szCs w:val="24"/>
        </w:rPr>
        <w:t xml:space="preserve"> to be our most appropriate primary key </w:t>
      </w:r>
    </w:p>
    <w:p w:rsidR="00296AAA" w:rsidRPr="00296AAA" w:rsidRDefault="00296AAA" w:rsidP="00296AAA">
      <w:pPr>
        <w:spacing w:after="0"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noProof/>
          <w:sz w:val="24"/>
          <w:szCs w:val="24"/>
        </w:rPr>
        <w:drawing>
          <wp:inline distT="0" distB="0" distL="0" distR="0">
            <wp:extent cx="7315200" cy="4561205"/>
            <wp:effectExtent l="0" t="0" r="0" b="0"/>
            <wp:docPr id="10" name="Picture 10" descr="Primary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imary Ke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15200" cy="4561205"/>
                    </a:xfrm>
                    <a:prstGeom prst="rect">
                      <a:avLst/>
                    </a:prstGeom>
                    <a:noFill/>
                    <a:ln>
                      <a:noFill/>
                    </a:ln>
                  </pic:spPr>
                </pic:pic>
              </a:graphicData>
            </a:graphic>
          </wp:inline>
        </w:drawing>
      </w:r>
    </w:p>
    <w:p w:rsidR="00296AAA" w:rsidRPr="00296AAA" w:rsidRDefault="00296AAA" w:rsidP="00296AAA">
      <w:p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lastRenderedPageBreak/>
        <w:t xml:space="preserve">Primary keys are mandatory for every table each record must have a value for its primary key. When choosing a primary key from the pool of candidate keys always choose a single simple key over a composite key. </w:t>
      </w:r>
    </w:p>
    <w:p w:rsidR="00296AAA" w:rsidRPr="00296AAA" w:rsidRDefault="00296AAA" w:rsidP="00296AAA">
      <w:pPr>
        <w:spacing w:before="100" w:beforeAutospacing="1" w:after="100" w:afterAutospacing="1" w:line="240" w:lineRule="auto"/>
        <w:outlineLvl w:val="2"/>
        <w:rPr>
          <w:rFonts w:ascii="Times New Roman" w:eastAsia="Times New Roman" w:hAnsi="Times New Roman" w:cs="Times New Roman"/>
          <w:b/>
          <w:bCs/>
          <w:sz w:val="27"/>
          <w:szCs w:val="27"/>
        </w:rPr>
      </w:pPr>
      <w:r w:rsidRPr="00296AAA">
        <w:rPr>
          <w:rFonts w:ascii="Times New Roman" w:eastAsia="Times New Roman" w:hAnsi="Times New Roman" w:cs="Times New Roman"/>
          <w:b/>
          <w:bCs/>
          <w:sz w:val="27"/>
          <w:szCs w:val="27"/>
        </w:rPr>
        <w:t>Foreign Key</w:t>
      </w:r>
    </w:p>
    <w:p w:rsidR="00296AAA" w:rsidRPr="00296AAA" w:rsidRDefault="00296AAA" w:rsidP="00296AAA">
      <w:p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t xml:space="preserve">A foreign key is generally a primary key from one table that appears as a field in another where the first table has a relationship to the second. In other words, if we had a table A with a primary key X that linked to a table B where X was a field in B, then X would be a foreign key in B. </w:t>
      </w:r>
    </w:p>
    <w:p w:rsidR="00296AAA" w:rsidRPr="00296AAA" w:rsidRDefault="00296AAA" w:rsidP="00296AAA">
      <w:p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t xml:space="preserve">An example might be a student table that contains the </w:t>
      </w:r>
      <w:proofErr w:type="spellStart"/>
      <w:r w:rsidRPr="00296AAA">
        <w:rPr>
          <w:rFonts w:ascii="Times New Roman" w:eastAsia="Times New Roman" w:hAnsi="Times New Roman" w:cs="Times New Roman"/>
          <w:sz w:val="24"/>
          <w:szCs w:val="24"/>
        </w:rPr>
        <w:t>course_id</w:t>
      </w:r>
      <w:proofErr w:type="spellEnd"/>
      <w:r w:rsidRPr="00296AAA">
        <w:rPr>
          <w:rFonts w:ascii="Times New Roman" w:eastAsia="Times New Roman" w:hAnsi="Times New Roman" w:cs="Times New Roman"/>
          <w:sz w:val="24"/>
          <w:szCs w:val="24"/>
        </w:rPr>
        <w:t xml:space="preserve"> the student is attending. Another table lists the courses on offer with </w:t>
      </w:r>
      <w:proofErr w:type="spellStart"/>
      <w:r w:rsidRPr="00296AAA">
        <w:rPr>
          <w:rFonts w:ascii="Times New Roman" w:eastAsia="Times New Roman" w:hAnsi="Times New Roman" w:cs="Times New Roman"/>
          <w:sz w:val="24"/>
          <w:szCs w:val="24"/>
        </w:rPr>
        <w:t>course_id</w:t>
      </w:r>
      <w:proofErr w:type="spellEnd"/>
      <w:r w:rsidRPr="00296AAA">
        <w:rPr>
          <w:rFonts w:ascii="Times New Roman" w:eastAsia="Times New Roman" w:hAnsi="Times New Roman" w:cs="Times New Roman"/>
          <w:sz w:val="24"/>
          <w:szCs w:val="24"/>
        </w:rPr>
        <w:t xml:space="preserve"> being the primary key. The 2 tables are linked through </w:t>
      </w:r>
      <w:proofErr w:type="spellStart"/>
      <w:r w:rsidRPr="00296AAA">
        <w:rPr>
          <w:rFonts w:ascii="Times New Roman" w:eastAsia="Times New Roman" w:hAnsi="Times New Roman" w:cs="Times New Roman"/>
          <w:sz w:val="24"/>
          <w:szCs w:val="24"/>
        </w:rPr>
        <w:t>course_id</w:t>
      </w:r>
      <w:proofErr w:type="spellEnd"/>
      <w:r w:rsidRPr="00296AAA">
        <w:rPr>
          <w:rFonts w:ascii="Times New Roman" w:eastAsia="Times New Roman" w:hAnsi="Times New Roman" w:cs="Times New Roman"/>
          <w:sz w:val="24"/>
          <w:szCs w:val="24"/>
        </w:rPr>
        <w:t xml:space="preserve"> and as such </w:t>
      </w:r>
      <w:proofErr w:type="spellStart"/>
      <w:r w:rsidRPr="00296AAA">
        <w:rPr>
          <w:rFonts w:ascii="Times New Roman" w:eastAsia="Times New Roman" w:hAnsi="Times New Roman" w:cs="Times New Roman"/>
          <w:sz w:val="24"/>
          <w:szCs w:val="24"/>
        </w:rPr>
        <w:t>course_id</w:t>
      </w:r>
      <w:proofErr w:type="spellEnd"/>
      <w:r w:rsidRPr="00296AAA">
        <w:rPr>
          <w:rFonts w:ascii="Times New Roman" w:eastAsia="Times New Roman" w:hAnsi="Times New Roman" w:cs="Times New Roman"/>
          <w:sz w:val="24"/>
          <w:szCs w:val="24"/>
        </w:rPr>
        <w:t xml:space="preserve"> would be a foreign key in the student table. </w:t>
      </w:r>
    </w:p>
    <w:p w:rsidR="00296AAA" w:rsidRPr="00296AAA" w:rsidRDefault="00296AAA" w:rsidP="00296AAA">
      <w:pPr>
        <w:spacing w:after="0"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noProof/>
          <w:sz w:val="24"/>
          <w:szCs w:val="24"/>
        </w:rPr>
        <w:drawing>
          <wp:inline distT="0" distB="0" distL="0" distR="0">
            <wp:extent cx="7315200" cy="4800600"/>
            <wp:effectExtent l="0" t="0" r="0" b="0"/>
            <wp:docPr id="9" name="Picture 9" descr="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eign Ke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15200" cy="4800600"/>
                    </a:xfrm>
                    <a:prstGeom prst="rect">
                      <a:avLst/>
                    </a:prstGeom>
                    <a:noFill/>
                    <a:ln>
                      <a:noFill/>
                    </a:ln>
                  </pic:spPr>
                </pic:pic>
              </a:graphicData>
            </a:graphic>
          </wp:inline>
        </w:drawing>
      </w:r>
    </w:p>
    <w:p w:rsidR="00296AAA" w:rsidRPr="00296AAA" w:rsidRDefault="00296AAA" w:rsidP="00296AAA">
      <w:pPr>
        <w:spacing w:before="100" w:beforeAutospacing="1" w:after="100" w:afterAutospacing="1" w:line="240" w:lineRule="auto"/>
        <w:outlineLvl w:val="2"/>
        <w:rPr>
          <w:rFonts w:ascii="Times New Roman" w:eastAsia="Times New Roman" w:hAnsi="Times New Roman" w:cs="Times New Roman"/>
          <w:b/>
          <w:bCs/>
          <w:sz w:val="27"/>
          <w:szCs w:val="27"/>
        </w:rPr>
      </w:pPr>
      <w:r w:rsidRPr="00296AAA">
        <w:rPr>
          <w:rFonts w:ascii="Times New Roman" w:eastAsia="Times New Roman" w:hAnsi="Times New Roman" w:cs="Times New Roman"/>
          <w:b/>
          <w:bCs/>
          <w:sz w:val="27"/>
          <w:szCs w:val="27"/>
        </w:rPr>
        <w:t>Secondary Key or Alternative Key</w:t>
      </w:r>
    </w:p>
    <w:p w:rsidR="00296AAA" w:rsidRPr="00296AAA" w:rsidRDefault="00296AAA" w:rsidP="00296AAA">
      <w:p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lastRenderedPageBreak/>
        <w:t xml:space="preserve">A table may have one or more choices for the primary key. Collectively these are known as candidate keys as discuss earlier. One is selected as the primary key. Those not selected are known as secondary keys or alternative keys. </w:t>
      </w:r>
    </w:p>
    <w:p w:rsidR="00296AAA" w:rsidRPr="00296AAA" w:rsidRDefault="00296AAA" w:rsidP="00296AAA">
      <w:p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t xml:space="preserve">For example in the table showing candidate keys above we identified two candidate keys, </w:t>
      </w:r>
      <w:proofErr w:type="spellStart"/>
      <w:r w:rsidRPr="00296AAA">
        <w:rPr>
          <w:rFonts w:ascii="Times New Roman" w:eastAsia="Times New Roman" w:hAnsi="Times New Roman" w:cs="Times New Roman"/>
          <w:sz w:val="24"/>
          <w:szCs w:val="24"/>
        </w:rPr>
        <w:t>studentId</w:t>
      </w:r>
      <w:proofErr w:type="spellEnd"/>
      <w:r w:rsidRPr="00296AAA">
        <w:rPr>
          <w:rFonts w:ascii="Times New Roman" w:eastAsia="Times New Roman" w:hAnsi="Times New Roman" w:cs="Times New Roman"/>
          <w:sz w:val="24"/>
          <w:szCs w:val="24"/>
        </w:rPr>
        <w:t xml:space="preserve"> and </w:t>
      </w:r>
      <w:proofErr w:type="spellStart"/>
      <w:r w:rsidRPr="00296AAA">
        <w:rPr>
          <w:rFonts w:ascii="Times New Roman" w:eastAsia="Times New Roman" w:hAnsi="Times New Roman" w:cs="Times New Roman"/>
          <w:sz w:val="24"/>
          <w:szCs w:val="24"/>
        </w:rPr>
        <w:t>firstName</w:t>
      </w:r>
      <w:proofErr w:type="spellEnd"/>
      <w:r w:rsidRPr="00296AAA">
        <w:rPr>
          <w:rFonts w:ascii="Times New Roman" w:eastAsia="Times New Roman" w:hAnsi="Times New Roman" w:cs="Times New Roman"/>
          <w:sz w:val="24"/>
          <w:szCs w:val="24"/>
        </w:rPr>
        <w:t xml:space="preserve"> + </w:t>
      </w:r>
      <w:proofErr w:type="spellStart"/>
      <w:r w:rsidRPr="00296AAA">
        <w:rPr>
          <w:rFonts w:ascii="Times New Roman" w:eastAsia="Times New Roman" w:hAnsi="Times New Roman" w:cs="Times New Roman"/>
          <w:sz w:val="24"/>
          <w:szCs w:val="24"/>
        </w:rPr>
        <w:t>lastName</w:t>
      </w:r>
      <w:proofErr w:type="spellEnd"/>
      <w:r w:rsidRPr="00296AAA">
        <w:rPr>
          <w:rFonts w:ascii="Times New Roman" w:eastAsia="Times New Roman" w:hAnsi="Times New Roman" w:cs="Times New Roman"/>
          <w:sz w:val="24"/>
          <w:szCs w:val="24"/>
        </w:rPr>
        <w:t xml:space="preserve">. The </w:t>
      </w:r>
      <w:proofErr w:type="spellStart"/>
      <w:r w:rsidRPr="00296AAA">
        <w:rPr>
          <w:rFonts w:ascii="Times New Roman" w:eastAsia="Times New Roman" w:hAnsi="Times New Roman" w:cs="Times New Roman"/>
          <w:sz w:val="24"/>
          <w:szCs w:val="24"/>
        </w:rPr>
        <w:t>studentId</w:t>
      </w:r>
      <w:proofErr w:type="spellEnd"/>
      <w:r w:rsidRPr="00296AAA">
        <w:rPr>
          <w:rFonts w:ascii="Times New Roman" w:eastAsia="Times New Roman" w:hAnsi="Times New Roman" w:cs="Times New Roman"/>
          <w:sz w:val="24"/>
          <w:szCs w:val="24"/>
        </w:rPr>
        <w:t xml:space="preserve"> would be the most appropriate for a primary key leaving the other candidate key as secondary or alternative key. It should be noted for the other key to be candidate keys, we are assuming you will never have a person with the same first and last name combination. As this is unlikely we might consider </w:t>
      </w:r>
      <w:proofErr w:type="spellStart"/>
      <w:r w:rsidRPr="00296AAA">
        <w:rPr>
          <w:rFonts w:ascii="Times New Roman" w:eastAsia="Times New Roman" w:hAnsi="Times New Roman" w:cs="Times New Roman"/>
          <w:sz w:val="24"/>
          <w:szCs w:val="24"/>
        </w:rPr>
        <w:t>fistName+lastName</w:t>
      </w:r>
      <w:proofErr w:type="spellEnd"/>
      <w:r w:rsidRPr="00296AAA">
        <w:rPr>
          <w:rFonts w:ascii="Times New Roman" w:eastAsia="Times New Roman" w:hAnsi="Times New Roman" w:cs="Times New Roman"/>
          <w:sz w:val="24"/>
          <w:szCs w:val="24"/>
        </w:rPr>
        <w:t xml:space="preserve"> to be a suspect candidate key as it would be restrictive of the data you might enter. It would seem a shame to not allow John Smith onto a course just because there was already another John Smith. </w:t>
      </w:r>
    </w:p>
    <w:p w:rsidR="00296AAA" w:rsidRPr="00296AAA" w:rsidRDefault="00296AAA" w:rsidP="00296AAA">
      <w:pPr>
        <w:spacing w:before="100" w:beforeAutospacing="1" w:after="100" w:afterAutospacing="1" w:line="240" w:lineRule="auto"/>
        <w:outlineLvl w:val="2"/>
        <w:rPr>
          <w:rFonts w:ascii="Times New Roman" w:eastAsia="Times New Roman" w:hAnsi="Times New Roman" w:cs="Times New Roman"/>
          <w:b/>
          <w:bCs/>
          <w:sz w:val="27"/>
          <w:szCs w:val="27"/>
        </w:rPr>
      </w:pPr>
      <w:r w:rsidRPr="00296AAA">
        <w:rPr>
          <w:rFonts w:ascii="Times New Roman" w:eastAsia="Times New Roman" w:hAnsi="Times New Roman" w:cs="Times New Roman"/>
          <w:b/>
          <w:bCs/>
          <w:sz w:val="27"/>
          <w:szCs w:val="27"/>
        </w:rPr>
        <w:t>Simple Key</w:t>
      </w:r>
    </w:p>
    <w:p w:rsidR="00296AAA" w:rsidRPr="00296AAA" w:rsidRDefault="00296AAA" w:rsidP="00296AAA">
      <w:p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t>Any of the keys described before (</w:t>
      </w:r>
      <w:proofErr w:type="spellStart"/>
      <w:r w:rsidRPr="00296AAA">
        <w:rPr>
          <w:rFonts w:ascii="Times New Roman" w:eastAsia="Times New Roman" w:hAnsi="Times New Roman" w:cs="Times New Roman"/>
          <w:sz w:val="24"/>
          <w:szCs w:val="24"/>
        </w:rPr>
        <w:t>ie</w:t>
      </w:r>
      <w:proofErr w:type="spellEnd"/>
      <w:r w:rsidRPr="00296AAA">
        <w:rPr>
          <w:rFonts w:ascii="Times New Roman" w:eastAsia="Times New Roman" w:hAnsi="Times New Roman" w:cs="Times New Roman"/>
          <w:sz w:val="24"/>
          <w:szCs w:val="24"/>
        </w:rPr>
        <w:t xml:space="preserve"> primary, secondary or foreign) may comprise one or more fields, for example if </w:t>
      </w:r>
      <w:proofErr w:type="spellStart"/>
      <w:r w:rsidRPr="00296AAA">
        <w:rPr>
          <w:rFonts w:ascii="Times New Roman" w:eastAsia="Times New Roman" w:hAnsi="Times New Roman" w:cs="Times New Roman"/>
          <w:sz w:val="24"/>
          <w:szCs w:val="24"/>
        </w:rPr>
        <w:t>firstName</w:t>
      </w:r>
      <w:proofErr w:type="spellEnd"/>
      <w:r w:rsidRPr="00296AAA">
        <w:rPr>
          <w:rFonts w:ascii="Times New Roman" w:eastAsia="Times New Roman" w:hAnsi="Times New Roman" w:cs="Times New Roman"/>
          <w:sz w:val="24"/>
          <w:szCs w:val="24"/>
        </w:rPr>
        <w:t xml:space="preserve"> and </w:t>
      </w:r>
      <w:proofErr w:type="spellStart"/>
      <w:r w:rsidRPr="00296AAA">
        <w:rPr>
          <w:rFonts w:ascii="Times New Roman" w:eastAsia="Times New Roman" w:hAnsi="Times New Roman" w:cs="Times New Roman"/>
          <w:sz w:val="24"/>
          <w:szCs w:val="24"/>
        </w:rPr>
        <w:t>lastName</w:t>
      </w:r>
      <w:proofErr w:type="spellEnd"/>
      <w:r w:rsidRPr="00296AAA">
        <w:rPr>
          <w:rFonts w:ascii="Times New Roman" w:eastAsia="Times New Roman" w:hAnsi="Times New Roman" w:cs="Times New Roman"/>
          <w:sz w:val="24"/>
          <w:szCs w:val="24"/>
        </w:rPr>
        <w:t xml:space="preserve"> was our key this would be a key of two fields where as </w:t>
      </w:r>
      <w:proofErr w:type="spellStart"/>
      <w:r w:rsidRPr="00296AAA">
        <w:rPr>
          <w:rFonts w:ascii="Times New Roman" w:eastAsia="Times New Roman" w:hAnsi="Times New Roman" w:cs="Times New Roman"/>
          <w:sz w:val="24"/>
          <w:szCs w:val="24"/>
        </w:rPr>
        <w:t>studentId</w:t>
      </w:r>
      <w:proofErr w:type="spellEnd"/>
      <w:r w:rsidRPr="00296AAA">
        <w:rPr>
          <w:rFonts w:ascii="Times New Roman" w:eastAsia="Times New Roman" w:hAnsi="Times New Roman" w:cs="Times New Roman"/>
          <w:sz w:val="24"/>
          <w:szCs w:val="24"/>
        </w:rPr>
        <w:t xml:space="preserve"> is only one. A simple key consists of a single field to uniquely identify a record. In addition the field in itself cannot be broken down into other fields, for example, </w:t>
      </w:r>
      <w:proofErr w:type="spellStart"/>
      <w:r w:rsidRPr="00296AAA">
        <w:rPr>
          <w:rFonts w:ascii="Times New Roman" w:eastAsia="Times New Roman" w:hAnsi="Times New Roman" w:cs="Times New Roman"/>
          <w:sz w:val="24"/>
          <w:szCs w:val="24"/>
        </w:rPr>
        <w:t>studentId</w:t>
      </w:r>
      <w:proofErr w:type="spellEnd"/>
      <w:r w:rsidRPr="00296AAA">
        <w:rPr>
          <w:rFonts w:ascii="Times New Roman" w:eastAsia="Times New Roman" w:hAnsi="Times New Roman" w:cs="Times New Roman"/>
          <w:sz w:val="24"/>
          <w:szCs w:val="24"/>
        </w:rPr>
        <w:t xml:space="preserve">, which uniquely identifies a particular student, is a single field and therefore is a simple key. No two students would have the same student number. </w:t>
      </w:r>
    </w:p>
    <w:p w:rsidR="00296AAA" w:rsidRPr="00296AAA" w:rsidRDefault="00296AAA" w:rsidP="00296AAA">
      <w:pPr>
        <w:spacing w:before="100" w:beforeAutospacing="1" w:after="100" w:afterAutospacing="1" w:line="240" w:lineRule="auto"/>
        <w:outlineLvl w:val="2"/>
        <w:rPr>
          <w:rFonts w:ascii="Times New Roman" w:eastAsia="Times New Roman" w:hAnsi="Times New Roman" w:cs="Times New Roman"/>
          <w:b/>
          <w:bCs/>
          <w:sz w:val="27"/>
          <w:szCs w:val="27"/>
        </w:rPr>
      </w:pPr>
      <w:r w:rsidRPr="00296AAA">
        <w:rPr>
          <w:rFonts w:ascii="Times New Roman" w:eastAsia="Times New Roman" w:hAnsi="Times New Roman" w:cs="Times New Roman"/>
          <w:b/>
          <w:bCs/>
          <w:sz w:val="27"/>
          <w:szCs w:val="27"/>
        </w:rPr>
        <w:t>Compound Key</w:t>
      </w:r>
    </w:p>
    <w:p w:rsidR="00296AAA" w:rsidRPr="00296AAA" w:rsidRDefault="00296AAA" w:rsidP="00296AAA">
      <w:p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t xml:space="preserve">A compound key consists of more than one field to uniquely identify a record. A compound key is distinguished from a composite key because each field, which makes up the primary key, is also a simple key in its own right. An example might be a table that represents the modules a student is attending. This table has a </w:t>
      </w:r>
      <w:proofErr w:type="spellStart"/>
      <w:r w:rsidRPr="00296AAA">
        <w:rPr>
          <w:rFonts w:ascii="Times New Roman" w:eastAsia="Times New Roman" w:hAnsi="Times New Roman" w:cs="Times New Roman"/>
          <w:sz w:val="24"/>
          <w:szCs w:val="24"/>
        </w:rPr>
        <w:t>studentId</w:t>
      </w:r>
      <w:proofErr w:type="spellEnd"/>
      <w:r w:rsidRPr="00296AAA">
        <w:rPr>
          <w:rFonts w:ascii="Times New Roman" w:eastAsia="Times New Roman" w:hAnsi="Times New Roman" w:cs="Times New Roman"/>
          <w:sz w:val="24"/>
          <w:szCs w:val="24"/>
        </w:rPr>
        <w:t xml:space="preserve"> and a </w:t>
      </w:r>
      <w:proofErr w:type="spellStart"/>
      <w:r w:rsidRPr="00296AAA">
        <w:rPr>
          <w:rFonts w:ascii="Times New Roman" w:eastAsia="Times New Roman" w:hAnsi="Times New Roman" w:cs="Times New Roman"/>
          <w:sz w:val="24"/>
          <w:szCs w:val="24"/>
        </w:rPr>
        <w:t>moduleCode</w:t>
      </w:r>
      <w:proofErr w:type="spellEnd"/>
      <w:r w:rsidRPr="00296AAA">
        <w:rPr>
          <w:rFonts w:ascii="Times New Roman" w:eastAsia="Times New Roman" w:hAnsi="Times New Roman" w:cs="Times New Roman"/>
          <w:sz w:val="24"/>
          <w:szCs w:val="24"/>
        </w:rPr>
        <w:t xml:space="preserve"> as its primary key. Each of the fields that make up the primary key are simple keys because each represents a unique reference when identifying a student in one instance and a module in the other. </w:t>
      </w:r>
    </w:p>
    <w:p w:rsidR="00296AAA" w:rsidRPr="00296AAA" w:rsidRDefault="00296AAA" w:rsidP="00296AAA">
      <w:pPr>
        <w:spacing w:before="100" w:beforeAutospacing="1" w:after="100" w:afterAutospacing="1" w:line="240" w:lineRule="auto"/>
        <w:outlineLvl w:val="2"/>
        <w:rPr>
          <w:rFonts w:ascii="Times New Roman" w:eastAsia="Times New Roman" w:hAnsi="Times New Roman" w:cs="Times New Roman"/>
          <w:b/>
          <w:bCs/>
          <w:sz w:val="27"/>
          <w:szCs w:val="27"/>
        </w:rPr>
      </w:pPr>
      <w:r w:rsidRPr="00296AAA">
        <w:rPr>
          <w:rFonts w:ascii="Times New Roman" w:eastAsia="Times New Roman" w:hAnsi="Times New Roman" w:cs="Times New Roman"/>
          <w:b/>
          <w:bCs/>
          <w:sz w:val="27"/>
          <w:szCs w:val="27"/>
        </w:rPr>
        <w:t>Composite</w:t>
      </w:r>
    </w:p>
    <w:p w:rsidR="00296AAA" w:rsidRPr="00296AAA" w:rsidRDefault="00296AAA" w:rsidP="00296AAA">
      <w:p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t xml:space="preserve">A composite key consists of more than one field to uniquely identify a record. This differs from a compound key in that one or more of the attributes, which make up the key, are not simple keys in their own right. Taking the example from compound key, imagine we identified a student by their </w:t>
      </w:r>
      <w:proofErr w:type="spellStart"/>
      <w:r w:rsidRPr="00296AAA">
        <w:rPr>
          <w:rFonts w:ascii="Times New Roman" w:eastAsia="Times New Roman" w:hAnsi="Times New Roman" w:cs="Times New Roman"/>
          <w:sz w:val="24"/>
          <w:szCs w:val="24"/>
        </w:rPr>
        <w:t>firstName</w:t>
      </w:r>
      <w:proofErr w:type="spellEnd"/>
      <w:r w:rsidRPr="00296AAA">
        <w:rPr>
          <w:rFonts w:ascii="Times New Roman" w:eastAsia="Times New Roman" w:hAnsi="Times New Roman" w:cs="Times New Roman"/>
          <w:sz w:val="24"/>
          <w:szCs w:val="24"/>
        </w:rPr>
        <w:t xml:space="preserve"> + </w:t>
      </w:r>
      <w:proofErr w:type="spellStart"/>
      <w:r w:rsidRPr="00296AAA">
        <w:rPr>
          <w:rFonts w:ascii="Times New Roman" w:eastAsia="Times New Roman" w:hAnsi="Times New Roman" w:cs="Times New Roman"/>
          <w:sz w:val="24"/>
          <w:szCs w:val="24"/>
        </w:rPr>
        <w:t>lastName</w:t>
      </w:r>
      <w:proofErr w:type="spellEnd"/>
      <w:r w:rsidRPr="00296AAA">
        <w:rPr>
          <w:rFonts w:ascii="Times New Roman" w:eastAsia="Times New Roman" w:hAnsi="Times New Roman" w:cs="Times New Roman"/>
          <w:sz w:val="24"/>
          <w:szCs w:val="24"/>
        </w:rPr>
        <w:t xml:space="preserve">. In our table representing students on modules our primary key would now be </w:t>
      </w:r>
      <w:proofErr w:type="spellStart"/>
      <w:r w:rsidRPr="00296AAA">
        <w:rPr>
          <w:rFonts w:ascii="Times New Roman" w:eastAsia="Times New Roman" w:hAnsi="Times New Roman" w:cs="Times New Roman"/>
          <w:sz w:val="24"/>
          <w:szCs w:val="24"/>
        </w:rPr>
        <w:t>firstName</w:t>
      </w:r>
      <w:proofErr w:type="spellEnd"/>
      <w:r w:rsidRPr="00296AAA">
        <w:rPr>
          <w:rFonts w:ascii="Times New Roman" w:eastAsia="Times New Roman" w:hAnsi="Times New Roman" w:cs="Times New Roman"/>
          <w:sz w:val="24"/>
          <w:szCs w:val="24"/>
        </w:rPr>
        <w:t xml:space="preserve"> + </w:t>
      </w:r>
      <w:proofErr w:type="spellStart"/>
      <w:r w:rsidRPr="00296AAA">
        <w:rPr>
          <w:rFonts w:ascii="Times New Roman" w:eastAsia="Times New Roman" w:hAnsi="Times New Roman" w:cs="Times New Roman"/>
          <w:sz w:val="24"/>
          <w:szCs w:val="24"/>
        </w:rPr>
        <w:t>lastName</w:t>
      </w:r>
      <w:proofErr w:type="spellEnd"/>
      <w:r w:rsidRPr="00296AAA">
        <w:rPr>
          <w:rFonts w:ascii="Times New Roman" w:eastAsia="Times New Roman" w:hAnsi="Times New Roman" w:cs="Times New Roman"/>
          <w:sz w:val="24"/>
          <w:szCs w:val="24"/>
        </w:rPr>
        <w:t xml:space="preserve"> + </w:t>
      </w:r>
      <w:proofErr w:type="spellStart"/>
      <w:r w:rsidRPr="00296AAA">
        <w:rPr>
          <w:rFonts w:ascii="Times New Roman" w:eastAsia="Times New Roman" w:hAnsi="Times New Roman" w:cs="Times New Roman"/>
          <w:sz w:val="24"/>
          <w:szCs w:val="24"/>
        </w:rPr>
        <w:t>moduleCode</w:t>
      </w:r>
      <w:proofErr w:type="spellEnd"/>
      <w:r w:rsidRPr="00296AAA">
        <w:rPr>
          <w:rFonts w:ascii="Times New Roman" w:eastAsia="Times New Roman" w:hAnsi="Times New Roman" w:cs="Times New Roman"/>
          <w:sz w:val="24"/>
          <w:szCs w:val="24"/>
        </w:rPr>
        <w:t xml:space="preserve">. Because </w:t>
      </w:r>
      <w:proofErr w:type="spellStart"/>
      <w:r w:rsidRPr="00296AAA">
        <w:rPr>
          <w:rFonts w:ascii="Times New Roman" w:eastAsia="Times New Roman" w:hAnsi="Times New Roman" w:cs="Times New Roman"/>
          <w:sz w:val="24"/>
          <w:szCs w:val="24"/>
        </w:rPr>
        <w:t>firstName</w:t>
      </w:r>
      <w:proofErr w:type="spellEnd"/>
      <w:r w:rsidRPr="00296AAA">
        <w:rPr>
          <w:rFonts w:ascii="Times New Roman" w:eastAsia="Times New Roman" w:hAnsi="Times New Roman" w:cs="Times New Roman"/>
          <w:sz w:val="24"/>
          <w:szCs w:val="24"/>
        </w:rPr>
        <w:t xml:space="preserve"> + </w:t>
      </w:r>
      <w:proofErr w:type="spellStart"/>
      <w:r w:rsidRPr="00296AAA">
        <w:rPr>
          <w:rFonts w:ascii="Times New Roman" w:eastAsia="Times New Roman" w:hAnsi="Times New Roman" w:cs="Times New Roman"/>
          <w:sz w:val="24"/>
          <w:szCs w:val="24"/>
        </w:rPr>
        <w:t>lastName</w:t>
      </w:r>
      <w:proofErr w:type="spellEnd"/>
      <w:r w:rsidRPr="00296AAA">
        <w:rPr>
          <w:rFonts w:ascii="Times New Roman" w:eastAsia="Times New Roman" w:hAnsi="Times New Roman" w:cs="Times New Roman"/>
          <w:sz w:val="24"/>
          <w:szCs w:val="24"/>
        </w:rPr>
        <w:t xml:space="preserve"> represent a unique reference to a student, they are not each simple keys, they have to be combined in order to uniquely identify the student. Therefore the key for this table is a composite key. </w:t>
      </w:r>
    </w:p>
    <w:p w:rsidR="00296AAA" w:rsidRPr="00296AAA" w:rsidRDefault="00296AAA" w:rsidP="00296A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noProof/>
          <w:color w:val="0000FF"/>
          <w:sz w:val="24"/>
          <w:szCs w:val="24"/>
        </w:rPr>
        <w:drawing>
          <wp:inline distT="0" distB="0" distL="0" distR="0">
            <wp:extent cx="489585" cy="239395"/>
            <wp:effectExtent l="0" t="0" r="5715" b="8255"/>
            <wp:docPr id="8" name="Picture 8" descr="prevSec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vSec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585" cy="239395"/>
                    </a:xfrm>
                    <a:prstGeom prst="rect">
                      <a:avLst/>
                    </a:prstGeom>
                    <a:noFill/>
                    <a:ln>
                      <a:noFill/>
                    </a:ln>
                  </pic:spPr>
                </pic:pic>
              </a:graphicData>
            </a:graphic>
          </wp:inline>
        </w:drawing>
      </w:r>
    </w:p>
    <w:p w:rsidR="00296AAA" w:rsidRPr="00296AAA" w:rsidRDefault="00296AAA" w:rsidP="00296A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noProof/>
          <w:color w:val="0000FF"/>
          <w:sz w:val="24"/>
          <w:szCs w:val="24"/>
        </w:rPr>
        <w:drawing>
          <wp:inline distT="0" distB="0" distL="0" distR="0">
            <wp:extent cx="489585" cy="239395"/>
            <wp:effectExtent l="0" t="0" r="5715" b="8255"/>
            <wp:docPr id="7" name="Picture 7" descr="prev">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ev">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 cy="239395"/>
                    </a:xfrm>
                    <a:prstGeom prst="rect">
                      <a:avLst/>
                    </a:prstGeom>
                    <a:noFill/>
                    <a:ln>
                      <a:noFill/>
                    </a:ln>
                  </pic:spPr>
                </pic:pic>
              </a:graphicData>
            </a:graphic>
          </wp:inline>
        </w:drawing>
      </w:r>
    </w:p>
    <w:p w:rsidR="00296AAA" w:rsidRPr="00296AAA" w:rsidRDefault="00296AAA" w:rsidP="00296A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noProof/>
          <w:color w:val="0000FF"/>
          <w:sz w:val="24"/>
          <w:szCs w:val="24"/>
        </w:rPr>
        <w:drawing>
          <wp:inline distT="0" distB="0" distL="0" distR="0">
            <wp:extent cx="489585" cy="239395"/>
            <wp:effectExtent l="0" t="0" r="5715" b="8255"/>
            <wp:docPr id="6" name="Picture 6" descr="nextSec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xtSec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 cy="239395"/>
                    </a:xfrm>
                    <a:prstGeom prst="rect">
                      <a:avLst/>
                    </a:prstGeom>
                    <a:noFill/>
                    <a:ln>
                      <a:noFill/>
                    </a:ln>
                  </pic:spPr>
                </pic:pic>
              </a:graphicData>
            </a:graphic>
          </wp:inline>
        </w:drawing>
      </w:r>
    </w:p>
    <w:p w:rsidR="00296AAA" w:rsidRPr="00296AAA" w:rsidRDefault="00296AAA" w:rsidP="00296A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noProof/>
          <w:sz w:val="24"/>
          <w:szCs w:val="24"/>
        </w:rPr>
        <w:drawing>
          <wp:inline distT="0" distB="0" distL="0" distR="0">
            <wp:extent cx="239395" cy="239395"/>
            <wp:effectExtent l="0" t="0" r="8255" b="8255"/>
            <wp:docPr id="5" name="Picture 5" descr="Navigation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avigation 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395" cy="239395"/>
                    </a:xfrm>
                    <a:prstGeom prst="rect">
                      <a:avLst/>
                    </a:prstGeom>
                    <a:noFill/>
                    <a:ln>
                      <a:noFill/>
                    </a:ln>
                  </pic:spPr>
                </pic:pic>
              </a:graphicData>
            </a:graphic>
          </wp:inline>
        </w:drawing>
      </w:r>
    </w:p>
    <w:p w:rsidR="00296AAA" w:rsidRPr="00296AAA" w:rsidRDefault="00296AAA" w:rsidP="00296A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lastRenderedPageBreak/>
        <w:t>Database Design</w:t>
      </w:r>
    </w:p>
    <w:p w:rsidR="00296AAA" w:rsidRPr="00296AAA" w:rsidRDefault="00296AAA" w:rsidP="00296A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noProof/>
          <w:sz w:val="24"/>
          <w:szCs w:val="24"/>
        </w:rPr>
        <w:drawing>
          <wp:inline distT="0" distB="0" distL="0" distR="0">
            <wp:extent cx="239395" cy="239395"/>
            <wp:effectExtent l="0" t="0" r="8255" b="8255"/>
            <wp:docPr id="4" name="Picture 4" descr="Navigation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avigation 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395" cy="239395"/>
                    </a:xfrm>
                    <a:prstGeom prst="rect">
                      <a:avLst/>
                    </a:prstGeom>
                    <a:noFill/>
                    <a:ln>
                      <a:noFill/>
                    </a:ln>
                  </pic:spPr>
                </pic:pic>
              </a:graphicData>
            </a:graphic>
          </wp:inline>
        </w:drawing>
      </w:r>
    </w:p>
    <w:p w:rsidR="00296AAA" w:rsidRPr="00296AAA" w:rsidRDefault="00296AAA" w:rsidP="00296A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t>Terms Of Reference</w:t>
      </w:r>
    </w:p>
    <w:p w:rsidR="00296AAA" w:rsidRPr="00296AAA" w:rsidRDefault="00296AAA" w:rsidP="00296A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noProof/>
          <w:sz w:val="24"/>
          <w:szCs w:val="24"/>
        </w:rPr>
        <w:drawing>
          <wp:inline distT="0" distB="0" distL="0" distR="0">
            <wp:extent cx="239395" cy="239395"/>
            <wp:effectExtent l="0" t="0" r="8255" b="8255"/>
            <wp:docPr id="3" name="Picture 3" descr="Navigation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avigation 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395" cy="239395"/>
                    </a:xfrm>
                    <a:prstGeom prst="rect">
                      <a:avLst/>
                    </a:prstGeom>
                    <a:noFill/>
                    <a:ln>
                      <a:noFill/>
                    </a:ln>
                  </pic:spPr>
                </pic:pic>
              </a:graphicData>
            </a:graphic>
          </wp:inline>
        </w:drawing>
      </w:r>
    </w:p>
    <w:p w:rsidR="00296AAA" w:rsidRPr="00296AAA" w:rsidRDefault="00296AAA" w:rsidP="00296A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sz w:val="24"/>
          <w:szCs w:val="24"/>
        </w:rPr>
        <w:t>Keys</w:t>
      </w:r>
    </w:p>
    <w:p w:rsidR="00296AAA" w:rsidRPr="00296AAA" w:rsidRDefault="00296AAA" w:rsidP="00296AAA">
      <w:pPr>
        <w:spacing w:after="0" w:line="240" w:lineRule="auto"/>
        <w:rPr>
          <w:rFonts w:ascii="Times New Roman" w:eastAsia="Times New Roman" w:hAnsi="Times New Roman" w:cs="Times New Roman"/>
          <w:sz w:val="24"/>
          <w:szCs w:val="24"/>
        </w:rPr>
      </w:pPr>
      <w:r w:rsidRPr="00296AAA">
        <w:rPr>
          <w:rFonts w:ascii="Times New Roman" w:eastAsia="Times New Roman" w:hAnsi="Times New Roman" w:cs="Times New Roman"/>
          <w:noProof/>
          <w:color w:val="0000FF"/>
          <w:sz w:val="24"/>
          <w:szCs w:val="24"/>
        </w:rPr>
        <w:drawing>
          <wp:inline distT="0" distB="0" distL="0" distR="0">
            <wp:extent cx="489585" cy="239395"/>
            <wp:effectExtent l="0" t="0" r="5715" b="8255"/>
            <wp:docPr id="2" name="Picture 2" descr="nex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x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 cy="239395"/>
                    </a:xfrm>
                    <a:prstGeom prst="rect">
                      <a:avLst/>
                    </a:prstGeom>
                    <a:noFill/>
                    <a:ln>
                      <a:noFill/>
                    </a:ln>
                  </pic:spPr>
                </pic:pic>
              </a:graphicData>
            </a:graphic>
          </wp:inline>
        </w:drawing>
      </w:r>
      <w:r w:rsidRPr="00296AAA">
        <w:rPr>
          <w:rFonts w:ascii="Times New Roman" w:eastAsia="Times New Roman" w:hAnsi="Times New Roman" w:cs="Times New Roman"/>
          <w:noProof/>
          <w:color w:val="0000FF"/>
          <w:sz w:val="24"/>
          <w:szCs w:val="24"/>
        </w:rPr>
        <w:drawing>
          <wp:inline distT="0" distB="0" distL="0" distR="0">
            <wp:extent cx="489585" cy="239395"/>
            <wp:effectExtent l="0" t="0" r="5715" b="8255"/>
            <wp:docPr id="1" name="Picture 1" descr="nextSec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xtSection">
                      <a:hlinkClick r:id="rId1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 cy="239395"/>
                    </a:xfrm>
                    <a:prstGeom prst="rect">
                      <a:avLst/>
                    </a:prstGeom>
                    <a:noFill/>
                    <a:ln>
                      <a:noFill/>
                    </a:ln>
                  </pic:spPr>
                </pic:pic>
              </a:graphicData>
            </a:graphic>
          </wp:inline>
        </w:drawing>
      </w:r>
    </w:p>
    <w:p w:rsidR="0018740B" w:rsidRDefault="0018740B" w:rsidP="00296AAA">
      <w:pPr>
        <w:tabs>
          <w:tab w:val="left" w:pos="5880"/>
        </w:tabs>
      </w:pPr>
      <w:bookmarkStart w:id="0" w:name="_GoBack"/>
      <w:bookmarkEnd w:id="0"/>
    </w:p>
    <w:sectPr w:rsidR="00187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AD4C59"/>
    <w:multiLevelType w:val="multilevel"/>
    <w:tmpl w:val="675C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0B6597"/>
    <w:multiLevelType w:val="multilevel"/>
    <w:tmpl w:val="2C98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354DCE"/>
    <w:multiLevelType w:val="multilevel"/>
    <w:tmpl w:val="5F50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0F3D12"/>
    <w:multiLevelType w:val="multilevel"/>
    <w:tmpl w:val="3A3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AAA"/>
    <w:rsid w:val="0018740B"/>
    <w:rsid w:val="0029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00519-3552-486B-B35D-EEB3A6A6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6A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96A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AA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96A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6A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137184">
      <w:bodyDiv w:val="1"/>
      <w:marLeft w:val="0"/>
      <w:marRight w:val="0"/>
      <w:marTop w:val="0"/>
      <w:marBottom w:val="0"/>
      <w:divBdr>
        <w:top w:val="none" w:sz="0" w:space="0" w:color="auto"/>
        <w:left w:val="none" w:sz="0" w:space="0" w:color="auto"/>
        <w:bottom w:val="none" w:sz="0" w:space="0" w:color="auto"/>
        <w:right w:val="none" w:sz="0" w:space="0" w:color="auto"/>
      </w:divBdr>
      <w:divsChild>
        <w:div w:id="1356613402">
          <w:marLeft w:val="0"/>
          <w:marRight w:val="0"/>
          <w:marTop w:val="0"/>
          <w:marBottom w:val="0"/>
          <w:divBdr>
            <w:top w:val="none" w:sz="0" w:space="0" w:color="auto"/>
            <w:left w:val="none" w:sz="0" w:space="0" w:color="auto"/>
            <w:bottom w:val="none" w:sz="0" w:space="0" w:color="auto"/>
            <w:right w:val="none" w:sz="0" w:space="0" w:color="auto"/>
          </w:divBdr>
          <w:divsChild>
            <w:div w:id="131212207">
              <w:marLeft w:val="0"/>
              <w:marRight w:val="0"/>
              <w:marTop w:val="0"/>
              <w:marBottom w:val="0"/>
              <w:divBdr>
                <w:top w:val="none" w:sz="0" w:space="0" w:color="auto"/>
                <w:left w:val="none" w:sz="0" w:space="0" w:color="auto"/>
                <w:bottom w:val="none" w:sz="0" w:space="0" w:color="auto"/>
                <w:right w:val="none" w:sz="0" w:space="0" w:color="auto"/>
              </w:divBdr>
              <w:divsChild>
                <w:div w:id="2034378798">
                  <w:marLeft w:val="0"/>
                  <w:marRight w:val="0"/>
                  <w:marTop w:val="0"/>
                  <w:marBottom w:val="0"/>
                  <w:divBdr>
                    <w:top w:val="none" w:sz="0" w:space="0" w:color="auto"/>
                    <w:left w:val="none" w:sz="0" w:space="0" w:color="auto"/>
                    <w:bottom w:val="none" w:sz="0" w:space="0" w:color="auto"/>
                    <w:right w:val="none" w:sz="0" w:space="0" w:color="auto"/>
                  </w:divBdr>
                </w:div>
                <w:div w:id="27225449">
                  <w:marLeft w:val="0"/>
                  <w:marRight w:val="0"/>
                  <w:marTop w:val="0"/>
                  <w:marBottom w:val="0"/>
                  <w:divBdr>
                    <w:top w:val="none" w:sz="0" w:space="0" w:color="auto"/>
                    <w:left w:val="none" w:sz="0" w:space="0" w:color="auto"/>
                    <w:bottom w:val="none" w:sz="0" w:space="0" w:color="auto"/>
                    <w:right w:val="none" w:sz="0" w:space="0" w:color="auto"/>
                  </w:divBdr>
                </w:div>
              </w:divsChild>
            </w:div>
            <w:div w:id="1878812691">
              <w:marLeft w:val="0"/>
              <w:marRight w:val="0"/>
              <w:marTop w:val="0"/>
              <w:marBottom w:val="0"/>
              <w:divBdr>
                <w:top w:val="none" w:sz="0" w:space="0" w:color="auto"/>
                <w:left w:val="none" w:sz="0" w:space="0" w:color="auto"/>
                <w:bottom w:val="none" w:sz="0" w:space="0" w:color="auto"/>
                <w:right w:val="none" w:sz="0" w:space="0" w:color="auto"/>
              </w:divBdr>
              <w:divsChild>
                <w:div w:id="1085106328">
                  <w:marLeft w:val="0"/>
                  <w:marRight w:val="0"/>
                  <w:marTop w:val="0"/>
                  <w:marBottom w:val="0"/>
                  <w:divBdr>
                    <w:top w:val="none" w:sz="0" w:space="0" w:color="auto"/>
                    <w:left w:val="none" w:sz="0" w:space="0" w:color="auto"/>
                    <w:bottom w:val="none" w:sz="0" w:space="0" w:color="auto"/>
                    <w:right w:val="none" w:sz="0" w:space="0" w:color="auto"/>
                  </w:divBdr>
                </w:div>
                <w:div w:id="1444232206">
                  <w:marLeft w:val="0"/>
                  <w:marRight w:val="0"/>
                  <w:marTop w:val="0"/>
                  <w:marBottom w:val="0"/>
                  <w:divBdr>
                    <w:top w:val="none" w:sz="0" w:space="0" w:color="auto"/>
                    <w:left w:val="none" w:sz="0" w:space="0" w:color="auto"/>
                    <w:bottom w:val="none" w:sz="0" w:space="0" w:color="auto"/>
                    <w:right w:val="none" w:sz="0" w:space="0" w:color="auto"/>
                  </w:divBdr>
                  <w:divsChild>
                    <w:div w:id="889153416">
                      <w:marLeft w:val="0"/>
                      <w:marRight w:val="0"/>
                      <w:marTop w:val="0"/>
                      <w:marBottom w:val="0"/>
                      <w:divBdr>
                        <w:top w:val="none" w:sz="0" w:space="0" w:color="auto"/>
                        <w:left w:val="none" w:sz="0" w:space="0" w:color="auto"/>
                        <w:bottom w:val="none" w:sz="0" w:space="0" w:color="auto"/>
                        <w:right w:val="none" w:sz="0" w:space="0" w:color="auto"/>
                      </w:divBdr>
                    </w:div>
                    <w:div w:id="1351562636">
                      <w:marLeft w:val="0"/>
                      <w:marRight w:val="0"/>
                      <w:marTop w:val="0"/>
                      <w:marBottom w:val="0"/>
                      <w:divBdr>
                        <w:top w:val="none" w:sz="0" w:space="0" w:color="auto"/>
                        <w:left w:val="none" w:sz="0" w:space="0" w:color="auto"/>
                        <w:bottom w:val="none" w:sz="0" w:space="0" w:color="auto"/>
                        <w:right w:val="none" w:sz="0" w:space="0" w:color="auto"/>
                      </w:divBdr>
                    </w:div>
                    <w:div w:id="1715425915">
                      <w:marLeft w:val="0"/>
                      <w:marRight w:val="0"/>
                      <w:marTop w:val="0"/>
                      <w:marBottom w:val="0"/>
                      <w:divBdr>
                        <w:top w:val="none" w:sz="0" w:space="0" w:color="auto"/>
                        <w:left w:val="none" w:sz="0" w:space="0" w:color="auto"/>
                        <w:bottom w:val="none" w:sz="0" w:space="0" w:color="auto"/>
                        <w:right w:val="none" w:sz="0" w:space="0" w:color="auto"/>
                      </w:divBdr>
                    </w:div>
                  </w:divsChild>
                </w:div>
                <w:div w:id="2004970747">
                  <w:marLeft w:val="0"/>
                  <w:marRight w:val="0"/>
                  <w:marTop w:val="0"/>
                  <w:marBottom w:val="0"/>
                  <w:divBdr>
                    <w:top w:val="none" w:sz="0" w:space="0" w:color="auto"/>
                    <w:left w:val="none" w:sz="0" w:space="0" w:color="auto"/>
                    <w:bottom w:val="none" w:sz="0" w:space="0" w:color="auto"/>
                    <w:right w:val="none" w:sz="0" w:space="0" w:color="auto"/>
                  </w:divBdr>
                  <w:divsChild>
                    <w:div w:id="1339581959">
                      <w:marLeft w:val="0"/>
                      <w:marRight w:val="0"/>
                      <w:marTop w:val="0"/>
                      <w:marBottom w:val="0"/>
                      <w:divBdr>
                        <w:top w:val="none" w:sz="0" w:space="0" w:color="auto"/>
                        <w:left w:val="none" w:sz="0" w:space="0" w:color="auto"/>
                        <w:bottom w:val="none" w:sz="0" w:space="0" w:color="auto"/>
                        <w:right w:val="none" w:sz="0" w:space="0" w:color="auto"/>
                      </w:divBdr>
                    </w:div>
                    <w:div w:id="10794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dbms.opengrass.net/2_Database%20Design/2.1_TermsOfReference/2.1.1_Terms.html" TargetMode="External"/><Relationship Id="rId13" Type="http://schemas.openxmlformats.org/officeDocument/2006/relationships/hyperlink" Target="http://rdbms.opengrass.net/2_Database%20Design/2.2_Normalisation/index.html" TargetMode="External"/><Relationship Id="rId18" Type="http://schemas.openxmlformats.org/officeDocument/2006/relationships/hyperlink" Target="http://rdbms.opengrass.net/2_Database%20Design/2.1_TermsOfReference/2.1.2_Key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gif"/><Relationship Id="rId7" Type="http://schemas.openxmlformats.org/officeDocument/2006/relationships/image" Target="media/image2.gif"/><Relationship Id="rId12" Type="http://schemas.openxmlformats.org/officeDocument/2006/relationships/image" Target="media/image5.gif"/><Relationship Id="rId17" Type="http://schemas.openxmlformats.org/officeDocument/2006/relationships/image" Target="media/image8.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dbms.opengrass.net/2_Database%20Design/2.1_TermsOfReference/r/2.2_Keys.avi" TargetMode="External"/><Relationship Id="rId20" Type="http://schemas.openxmlformats.org/officeDocument/2006/relationships/hyperlink" Target="http://rdbms.opengrass.net/2_Database%20Design/2.1_TermsOfReference/r/2.2_Keys.pdf" TargetMode="External"/><Relationship Id="rId1" Type="http://schemas.openxmlformats.org/officeDocument/2006/relationships/numbering" Target="numbering.xml"/><Relationship Id="rId6" Type="http://schemas.openxmlformats.org/officeDocument/2006/relationships/hyperlink" Target="http://rdbms.opengrass.net/2_Database%20Design/index.html" TargetMode="External"/><Relationship Id="rId11" Type="http://schemas.openxmlformats.org/officeDocument/2006/relationships/image" Target="media/image4.gif"/><Relationship Id="rId24" Type="http://schemas.openxmlformats.org/officeDocument/2006/relationships/image" Target="media/image13.gif"/><Relationship Id="rId5" Type="http://schemas.openxmlformats.org/officeDocument/2006/relationships/image" Target="media/image1.gif"/><Relationship Id="rId15" Type="http://schemas.openxmlformats.org/officeDocument/2006/relationships/image" Target="media/image7.gif"/><Relationship Id="rId23" Type="http://schemas.openxmlformats.org/officeDocument/2006/relationships/image" Target="media/image12.gif"/><Relationship Id="rId10" Type="http://schemas.openxmlformats.org/officeDocument/2006/relationships/hyperlink" Target="http://rdbms.opengrass.net/index.html" TargetMode="External"/><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6.gif"/><Relationship Id="rId22"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934</Words>
  <Characters>5324</Characters>
  <Application>Microsoft Office Word</Application>
  <DocSecurity>0</DocSecurity>
  <Lines>44</Lines>
  <Paragraphs>12</Paragraphs>
  <ScaleCrop>false</ScaleCrop>
  <Company/>
  <LinksUpToDate>false</LinksUpToDate>
  <CharactersWithSpaces>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OGOMA</dc:creator>
  <cp:keywords/>
  <dc:description/>
  <cp:lastModifiedBy>ZACK OGOMA</cp:lastModifiedBy>
  <cp:revision>1</cp:revision>
  <dcterms:created xsi:type="dcterms:W3CDTF">2017-04-14T08:52:00Z</dcterms:created>
  <dcterms:modified xsi:type="dcterms:W3CDTF">2017-04-14T08:56:00Z</dcterms:modified>
</cp:coreProperties>
</file>