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D4B8" w14:textId="4D779D55" w:rsidR="005C49A0" w:rsidRPr="002F06AE" w:rsidRDefault="002F06AE" w:rsidP="00E64070">
      <w:pPr>
        <w:pStyle w:val="Heading1"/>
        <w:jc w:val="center"/>
        <w:rPr>
          <w:b/>
          <w:bCs/>
          <w:sz w:val="44"/>
          <w:szCs w:val="44"/>
        </w:rPr>
      </w:pPr>
      <w:r w:rsidRPr="002F06AE">
        <w:rPr>
          <w:b/>
          <w:bCs/>
          <w:sz w:val="44"/>
          <w:szCs w:val="44"/>
        </w:rPr>
        <w:t>Insights from AMFI data</w:t>
      </w:r>
    </w:p>
    <w:p w14:paraId="33E8B738" w14:textId="77777777" w:rsidR="002F06AE" w:rsidRDefault="002F06AE" w:rsidP="002F06AE">
      <w:pPr>
        <w:pStyle w:val="Heading2"/>
      </w:pPr>
    </w:p>
    <w:p w14:paraId="30E687DD" w14:textId="4F728E06" w:rsidR="002F06AE" w:rsidRDefault="008B326C" w:rsidP="002F06AE">
      <w:pPr>
        <w:pStyle w:val="Heading2"/>
      </w:pPr>
      <w:r>
        <w:t>KPIs Analysed:</w:t>
      </w:r>
    </w:p>
    <w:p w14:paraId="770749D5" w14:textId="42ADF8E4" w:rsidR="008B326C" w:rsidRDefault="008B326C" w:rsidP="008B326C">
      <w:pPr>
        <w:pStyle w:val="ListParagraph"/>
        <w:numPr>
          <w:ilvl w:val="0"/>
          <w:numId w:val="8"/>
        </w:numPr>
      </w:pPr>
      <w:r>
        <w:t>Industry</w:t>
      </w:r>
      <w:r w:rsidR="000D4EDD">
        <w:t>/Channel/Product/Geo/Investor</w:t>
      </w:r>
      <w:r>
        <w:t xml:space="preserve"> wide market share composition.</w:t>
      </w:r>
    </w:p>
    <w:p w14:paraId="0E8DA49F" w14:textId="55C6CFA2" w:rsidR="008B326C" w:rsidRDefault="008B326C" w:rsidP="008B326C">
      <w:pPr>
        <w:pStyle w:val="ListParagraph"/>
        <w:numPr>
          <w:ilvl w:val="0"/>
          <w:numId w:val="8"/>
        </w:numPr>
      </w:pPr>
      <w:r>
        <w:t>Company internal share composition.</w:t>
      </w:r>
    </w:p>
    <w:p w14:paraId="7E3E98F4" w14:textId="65B0567B" w:rsidR="008B326C" w:rsidRDefault="008B326C" w:rsidP="008B326C">
      <w:pPr>
        <w:pStyle w:val="ListParagraph"/>
        <w:numPr>
          <w:ilvl w:val="0"/>
          <w:numId w:val="8"/>
        </w:numPr>
      </w:pPr>
      <w:r>
        <w:t>Rate of growth of industry and company assets.</w:t>
      </w:r>
    </w:p>
    <w:p w14:paraId="38F29B94" w14:textId="01DBB51A" w:rsidR="008B326C" w:rsidRPr="008B326C" w:rsidRDefault="008B326C" w:rsidP="008B326C">
      <w:pPr>
        <w:pStyle w:val="ListParagraph"/>
        <w:numPr>
          <w:ilvl w:val="0"/>
          <w:numId w:val="8"/>
        </w:numPr>
      </w:pPr>
      <w:r>
        <w:t>Standard deviation of market share to check volatility</w:t>
      </w:r>
    </w:p>
    <w:p w14:paraId="55CE8650" w14:textId="073F48F4" w:rsidR="00F94517" w:rsidRPr="00B220CA" w:rsidRDefault="002F06AE" w:rsidP="002F06AE">
      <w:pPr>
        <w:pStyle w:val="Heading2"/>
        <w:rPr>
          <w:b/>
          <w:bCs/>
          <w:color w:val="000000" w:themeColor="text1"/>
          <w:sz w:val="32"/>
          <w:szCs w:val="32"/>
        </w:rPr>
      </w:pPr>
      <w:r w:rsidRPr="00B220CA">
        <w:rPr>
          <w:b/>
          <w:bCs/>
          <w:color w:val="000000" w:themeColor="text1"/>
          <w:sz w:val="32"/>
          <w:szCs w:val="32"/>
        </w:rPr>
        <w:t>Summary Data:</w:t>
      </w:r>
    </w:p>
    <w:p w14:paraId="21DE751C" w14:textId="6E3F7D0C" w:rsidR="001E4304" w:rsidRDefault="001E4304" w:rsidP="001E4304"/>
    <w:p w14:paraId="14AD3950" w14:textId="547C6098" w:rsidR="001E4304" w:rsidRDefault="001E4304" w:rsidP="001E4304"/>
    <w:p w14:paraId="42927957" w14:textId="77777777" w:rsidR="001E4304" w:rsidRPr="001E4304" w:rsidRDefault="001E4304" w:rsidP="001E4304"/>
    <w:tbl>
      <w:tblPr>
        <w:tblpPr w:leftFromText="180" w:rightFromText="180" w:vertAnchor="page" w:horzAnchor="margin" w:tblpXSpec="center" w:tblpY="4414"/>
        <w:tblW w:w="10140" w:type="dxa"/>
        <w:tblCellMar>
          <w:left w:w="0" w:type="dxa"/>
          <w:right w:w="0" w:type="dxa"/>
        </w:tblCellMar>
        <w:tblLook w:val="0600" w:firstRow="0" w:lastRow="0" w:firstColumn="0" w:lastColumn="0" w:noHBand="1" w:noVBand="1"/>
      </w:tblPr>
      <w:tblGrid>
        <w:gridCol w:w="1126"/>
        <w:gridCol w:w="1126"/>
        <w:gridCol w:w="1126"/>
        <w:gridCol w:w="1127"/>
        <w:gridCol w:w="1127"/>
        <w:gridCol w:w="1127"/>
        <w:gridCol w:w="1127"/>
        <w:gridCol w:w="1127"/>
        <w:gridCol w:w="1127"/>
      </w:tblGrid>
      <w:tr w:rsidR="001E4304" w:rsidRPr="001E4304" w14:paraId="4BD1D676" w14:textId="77777777" w:rsidTr="008B326C">
        <w:trPr>
          <w:trHeight w:val="481"/>
        </w:trPr>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AC60B49" w14:textId="77777777" w:rsidR="001E4304" w:rsidRPr="001E4304" w:rsidRDefault="001E4304" w:rsidP="008B326C">
            <w:r w:rsidRPr="001E4304">
              <w:t> </w:t>
            </w:r>
          </w:p>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AABBC53" w14:textId="77777777" w:rsidR="001E4304" w:rsidRPr="001E4304" w:rsidRDefault="001E4304" w:rsidP="008B326C">
            <w:r w:rsidRPr="001E4304">
              <w:t>BIRLA</w:t>
            </w:r>
          </w:p>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9647699" w14:textId="77777777" w:rsidR="001E4304" w:rsidRPr="001E4304" w:rsidRDefault="001E4304" w:rsidP="008B326C">
            <w:r w:rsidRPr="001E4304">
              <w:t>HDFC</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E269922" w14:textId="77777777" w:rsidR="001E4304" w:rsidRPr="001E4304" w:rsidRDefault="001E4304" w:rsidP="008B326C">
            <w:r w:rsidRPr="001E4304">
              <w:t>ICICI</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9CD871D" w14:textId="77777777" w:rsidR="001E4304" w:rsidRPr="001E4304" w:rsidRDefault="001E4304" w:rsidP="008B326C">
            <w:r w:rsidRPr="001E4304">
              <w:t>SBI</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CC5549B" w14:textId="77777777" w:rsidR="001E4304" w:rsidRPr="001E4304" w:rsidRDefault="001E4304" w:rsidP="008B326C">
            <w:r w:rsidRPr="001E4304">
              <w:t>Axis</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94B7576" w14:textId="77777777" w:rsidR="001E4304" w:rsidRPr="001E4304" w:rsidRDefault="001E4304" w:rsidP="008B326C">
            <w:r w:rsidRPr="001E4304">
              <w:t>Kotak</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EE5D75B" w14:textId="77777777" w:rsidR="001E4304" w:rsidRPr="001E4304" w:rsidRDefault="001E4304" w:rsidP="008B326C">
            <w:r w:rsidRPr="001E4304">
              <w:t>Nippon</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2838D55" w14:textId="77777777" w:rsidR="001E4304" w:rsidRPr="001E4304" w:rsidRDefault="001E4304" w:rsidP="008B326C">
            <w:r w:rsidRPr="001E4304">
              <w:t>UTI</w:t>
            </w:r>
          </w:p>
        </w:tc>
      </w:tr>
      <w:tr w:rsidR="001E4304" w:rsidRPr="001E4304" w14:paraId="4676C010" w14:textId="77777777" w:rsidTr="008B326C">
        <w:trPr>
          <w:trHeight w:val="481"/>
        </w:trPr>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C1D4BE0" w14:textId="77777777" w:rsidR="001E4304" w:rsidRPr="001E4304" w:rsidRDefault="001E4304" w:rsidP="008B326C">
            <w:r w:rsidRPr="001E4304">
              <w:t>Mar-20</w:t>
            </w:r>
          </w:p>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AF4B681" w14:textId="77777777" w:rsidR="001E4304" w:rsidRPr="001E4304" w:rsidRDefault="001E4304" w:rsidP="00C17F14">
            <w:pPr>
              <w:jc w:val="right"/>
            </w:pPr>
            <w:r w:rsidRPr="001E4304">
              <w:t>9.12%</w:t>
            </w:r>
          </w:p>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90A3C72" w14:textId="77777777" w:rsidR="001E4304" w:rsidRPr="001E4304" w:rsidRDefault="001E4304" w:rsidP="00C17F14">
            <w:pPr>
              <w:jc w:val="right"/>
            </w:pPr>
            <w:r w:rsidRPr="001E4304">
              <w:t>13.68%</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8BDA320" w14:textId="77777777" w:rsidR="001E4304" w:rsidRPr="001E4304" w:rsidRDefault="001E4304" w:rsidP="00C17F14">
            <w:pPr>
              <w:jc w:val="right"/>
            </w:pPr>
            <w:r w:rsidRPr="001E4304">
              <w:t>13.04%</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E27E7ED" w14:textId="77777777" w:rsidR="001E4304" w:rsidRPr="001E4304" w:rsidRDefault="001E4304" w:rsidP="00C17F14">
            <w:pPr>
              <w:jc w:val="right"/>
            </w:pPr>
            <w:r w:rsidRPr="001E4304">
              <w:t>14.16%</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BF95F1D" w14:textId="77777777" w:rsidR="001E4304" w:rsidRPr="001E4304" w:rsidRDefault="001E4304" w:rsidP="00C17F14">
            <w:pPr>
              <w:jc w:val="right"/>
            </w:pPr>
            <w:r w:rsidRPr="001E4304">
              <w:t>5.33%</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8C2CAA8" w14:textId="77777777" w:rsidR="001E4304" w:rsidRPr="001E4304" w:rsidRDefault="001E4304" w:rsidP="00C17F14">
            <w:pPr>
              <w:jc w:val="right"/>
            </w:pPr>
            <w:r w:rsidRPr="001E4304">
              <w:t>6.93%</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3E550D2" w14:textId="77777777" w:rsidR="001E4304" w:rsidRPr="001E4304" w:rsidRDefault="001E4304" w:rsidP="00C17F14">
            <w:pPr>
              <w:jc w:val="right"/>
            </w:pPr>
            <w:r w:rsidRPr="001E4304">
              <w:t>7.48%</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F5A4E32" w14:textId="77777777" w:rsidR="001E4304" w:rsidRPr="001E4304" w:rsidRDefault="001E4304" w:rsidP="00C17F14">
            <w:pPr>
              <w:jc w:val="right"/>
            </w:pPr>
            <w:r w:rsidRPr="001E4304">
              <w:t>5.43%</w:t>
            </w:r>
          </w:p>
        </w:tc>
      </w:tr>
      <w:tr w:rsidR="001E4304" w:rsidRPr="001E4304" w14:paraId="09ACACE0" w14:textId="77777777" w:rsidTr="008B326C">
        <w:trPr>
          <w:trHeight w:val="481"/>
        </w:trPr>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4B2EEDE" w14:textId="77777777" w:rsidR="001E4304" w:rsidRPr="001E4304" w:rsidRDefault="001E4304" w:rsidP="008B326C">
            <w:r w:rsidRPr="001E4304">
              <w:t>Mar-21</w:t>
            </w:r>
          </w:p>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F82984E" w14:textId="77777777" w:rsidR="001E4304" w:rsidRPr="001E4304" w:rsidRDefault="001E4304" w:rsidP="00C17F14">
            <w:pPr>
              <w:jc w:val="right"/>
            </w:pPr>
            <w:r w:rsidRPr="001E4304">
              <w:t>8.42%</w:t>
            </w:r>
          </w:p>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019EA7E" w14:textId="77777777" w:rsidR="001E4304" w:rsidRPr="001E4304" w:rsidRDefault="001E4304" w:rsidP="00C17F14">
            <w:pPr>
              <w:jc w:val="right"/>
            </w:pPr>
            <w:r w:rsidRPr="001E4304">
              <w:t>12.74%</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D458484" w14:textId="77777777" w:rsidR="001E4304" w:rsidRPr="001E4304" w:rsidRDefault="001E4304" w:rsidP="00C17F14">
            <w:pPr>
              <w:jc w:val="right"/>
            </w:pPr>
            <w:r w:rsidRPr="001E4304">
              <w:t>12.68%</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EF9A441" w14:textId="77777777" w:rsidR="001E4304" w:rsidRPr="001E4304" w:rsidRDefault="001E4304" w:rsidP="00C17F14">
            <w:pPr>
              <w:jc w:val="right"/>
            </w:pPr>
            <w:r w:rsidRPr="001E4304">
              <w:t>15.73%</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A1F333E" w14:textId="77777777" w:rsidR="001E4304" w:rsidRPr="001E4304" w:rsidRDefault="001E4304" w:rsidP="00C17F14">
            <w:pPr>
              <w:jc w:val="right"/>
            </w:pPr>
            <w:r w:rsidRPr="001E4304">
              <w:t>6.13%</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9FDC571" w14:textId="77777777" w:rsidR="001E4304" w:rsidRPr="001E4304" w:rsidRDefault="001E4304" w:rsidP="00C17F14">
            <w:pPr>
              <w:jc w:val="right"/>
            </w:pPr>
            <w:r w:rsidRPr="001E4304">
              <w:t>7.25%</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78C3387" w14:textId="77777777" w:rsidR="001E4304" w:rsidRPr="001E4304" w:rsidRDefault="001E4304" w:rsidP="00C17F14">
            <w:pPr>
              <w:jc w:val="right"/>
            </w:pPr>
            <w:r w:rsidRPr="001E4304">
              <w:t>7.16%</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8A193B8" w14:textId="77777777" w:rsidR="001E4304" w:rsidRPr="001E4304" w:rsidRDefault="001E4304" w:rsidP="00C17F14">
            <w:pPr>
              <w:jc w:val="right"/>
            </w:pPr>
            <w:r w:rsidRPr="001E4304">
              <w:t>5.76%</w:t>
            </w:r>
          </w:p>
        </w:tc>
      </w:tr>
      <w:tr w:rsidR="001E4304" w:rsidRPr="001E4304" w14:paraId="3506D516" w14:textId="77777777" w:rsidTr="008B326C">
        <w:trPr>
          <w:trHeight w:val="481"/>
        </w:trPr>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070B53D" w14:textId="77777777" w:rsidR="001E4304" w:rsidRPr="001E4304" w:rsidRDefault="001E4304" w:rsidP="008B326C">
            <w:r w:rsidRPr="001E4304">
              <w:t>Mar-22</w:t>
            </w:r>
          </w:p>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EE5B0EA" w14:textId="77777777" w:rsidR="001E4304" w:rsidRPr="001E4304" w:rsidRDefault="001E4304" w:rsidP="00C17F14">
            <w:pPr>
              <w:jc w:val="right"/>
            </w:pPr>
            <w:r w:rsidRPr="001E4304">
              <w:t>7.66%</w:t>
            </w:r>
          </w:p>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CC0CCFD" w14:textId="77777777" w:rsidR="001E4304" w:rsidRPr="001E4304" w:rsidRDefault="001E4304" w:rsidP="00C17F14">
            <w:pPr>
              <w:jc w:val="right"/>
            </w:pPr>
            <w:r w:rsidRPr="001E4304">
              <w:t>11.05%</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B84C06E" w14:textId="77777777" w:rsidR="001E4304" w:rsidRPr="001E4304" w:rsidRDefault="001E4304" w:rsidP="00C17F14">
            <w:pPr>
              <w:jc w:val="right"/>
            </w:pPr>
            <w:r w:rsidRPr="001E4304">
              <w:t>12.31%</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ED7107C" w14:textId="77777777" w:rsidR="001E4304" w:rsidRPr="001E4304" w:rsidRDefault="001E4304" w:rsidP="00C17F14">
            <w:pPr>
              <w:jc w:val="right"/>
            </w:pPr>
            <w:r w:rsidRPr="001E4304">
              <w:t>16.93%</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BA01453" w14:textId="77777777" w:rsidR="001E4304" w:rsidRPr="001E4304" w:rsidRDefault="001E4304" w:rsidP="00C17F14">
            <w:pPr>
              <w:jc w:val="right"/>
            </w:pPr>
            <w:r w:rsidRPr="001E4304">
              <w:t>6.78%</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738A597" w14:textId="77777777" w:rsidR="001E4304" w:rsidRPr="001E4304" w:rsidRDefault="001E4304" w:rsidP="00C17F14">
            <w:pPr>
              <w:jc w:val="right"/>
            </w:pPr>
            <w:r w:rsidRPr="001E4304">
              <w:t>7.37%</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335925B" w14:textId="77777777" w:rsidR="001E4304" w:rsidRPr="001E4304" w:rsidRDefault="001E4304" w:rsidP="00C17F14">
            <w:pPr>
              <w:jc w:val="right"/>
            </w:pPr>
            <w:r w:rsidRPr="001E4304">
              <w:t>7.37%</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93C9AAE" w14:textId="77777777" w:rsidR="001E4304" w:rsidRPr="001E4304" w:rsidRDefault="001E4304" w:rsidP="00C17F14">
            <w:pPr>
              <w:jc w:val="right"/>
            </w:pPr>
            <w:r w:rsidRPr="001E4304">
              <w:t>5.85%</w:t>
            </w:r>
          </w:p>
        </w:tc>
      </w:tr>
      <w:tr w:rsidR="001E4304" w:rsidRPr="001E4304" w14:paraId="42B3E36A" w14:textId="77777777" w:rsidTr="008B326C">
        <w:trPr>
          <w:trHeight w:val="481"/>
        </w:trPr>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2297898" w14:textId="77777777" w:rsidR="001E4304" w:rsidRPr="001E4304" w:rsidRDefault="001E4304" w:rsidP="008B326C"/>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C04439F" w14:textId="77777777" w:rsidR="001E4304" w:rsidRPr="001E4304" w:rsidRDefault="001E4304" w:rsidP="00C17F14">
            <w:pPr>
              <w:jc w:val="right"/>
            </w:pPr>
            <w:r w:rsidRPr="001E4304">
              <w:t>-1.47%</w:t>
            </w:r>
          </w:p>
        </w:tc>
        <w:tc>
          <w:tcPr>
            <w:tcW w:w="112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AA313E2" w14:textId="77777777" w:rsidR="001E4304" w:rsidRPr="001E4304" w:rsidRDefault="001E4304" w:rsidP="00C17F14">
            <w:pPr>
              <w:jc w:val="right"/>
            </w:pPr>
            <w:r w:rsidRPr="001E4304">
              <w:t>-2.63%</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D3EBF4F" w14:textId="77777777" w:rsidR="001E4304" w:rsidRPr="001E4304" w:rsidRDefault="001E4304" w:rsidP="00C17F14">
            <w:pPr>
              <w:jc w:val="right"/>
            </w:pPr>
            <w:r w:rsidRPr="001E4304">
              <w:t>-0.73%</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B3E1D6E" w14:textId="77777777" w:rsidR="001E4304" w:rsidRPr="001E4304" w:rsidRDefault="001E4304" w:rsidP="00C17F14">
            <w:pPr>
              <w:jc w:val="right"/>
            </w:pPr>
            <w:r w:rsidRPr="001E4304">
              <w:t>2.77%</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8FBD5BC" w14:textId="77777777" w:rsidR="001E4304" w:rsidRPr="001E4304" w:rsidRDefault="001E4304" w:rsidP="00C17F14">
            <w:pPr>
              <w:jc w:val="right"/>
            </w:pPr>
            <w:r w:rsidRPr="001E4304">
              <w:t>1.45%</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0435FCB" w14:textId="77777777" w:rsidR="001E4304" w:rsidRPr="001E4304" w:rsidRDefault="001E4304" w:rsidP="00C17F14">
            <w:pPr>
              <w:jc w:val="right"/>
            </w:pPr>
            <w:r w:rsidRPr="001E4304">
              <w:t>0.43%</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3BEC810" w14:textId="77777777" w:rsidR="001E4304" w:rsidRPr="001E4304" w:rsidRDefault="001E4304" w:rsidP="00C17F14">
            <w:pPr>
              <w:jc w:val="right"/>
            </w:pPr>
            <w:r w:rsidRPr="001E4304">
              <w:t>-0.10%</w:t>
            </w:r>
          </w:p>
        </w:tc>
        <w:tc>
          <w:tcPr>
            <w:tcW w:w="11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90DD512" w14:textId="77777777" w:rsidR="001E4304" w:rsidRPr="001E4304" w:rsidRDefault="001E4304" w:rsidP="00C17F14">
            <w:pPr>
              <w:jc w:val="right"/>
            </w:pPr>
            <w:r w:rsidRPr="001E4304">
              <w:t>0.42%</w:t>
            </w:r>
          </w:p>
        </w:tc>
      </w:tr>
    </w:tbl>
    <w:p w14:paraId="0F48FD48" w14:textId="4FCA0EDD" w:rsidR="001E4304" w:rsidRDefault="001E4304" w:rsidP="001E4304">
      <w:pPr>
        <w:numPr>
          <w:ilvl w:val="0"/>
          <w:numId w:val="1"/>
        </w:numPr>
      </w:pPr>
      <w:r w:rsidRPr="001E4304">
        <w:t xml:space="preserve">Birla and HDFC among major </w:t>
      </w:r>
      <w:r w:rsidR="00ED74E7" w:rsidRPr="001E4304">
        <w:t>losers.</w:t>
      </w:r>
      <w:r w:rsidRPr="001E4304">
        <w:t xml:space="preserve"> SBI and Axis among major gainers.</w:t>
      </w:r>
    </w:p>
    <w:p w14:paraId="15A911A6" w14:textId="651D0019" w:rsidR="00ED74E7" w:rsidRDefault="00ED74E7" w:rsidP="001E4304">
      <w:pPr>
        <w:numPr>
          <w:ilvl w:val="0"/>
          <w:numId w:val="1"/>
        </w:numPr>
      </w:pPr>
      <w:r>
        <w:t xml:space="preserve">Very less standard deviation in market shares of players, this shows there is either constant </w:t>
      </w:r>
      <w:r w:rsidR="00E953C7">
        <w:t>decrease (Birla, HDFC, ICICI</w:t>
      </w:r>
      <w:r>
        <w:t xml:space="preserve">) or </w:t>
      </w:r>
      <w:r w:rsidR="00E953C7">
        <w:t>increase (SBI, Axis, Kotak</w:t>
      </w:r>
      <w:r>
        <w:t>) of share over the course of two years.</w:t>
      </w:r>
      <w:r w:rsidR="00DC6886">
        <w:t xml:space="preserve"> There isn’t much volatility in performance of companies.</w:t>
      </w:r>
    </w:p>
    <w:p w14:paraId="13083C84" w14:textId="234E421C" w:rsidR="00E953C7" w:rsidRDefault="00E953C7" w:rsidP="001E4304">
      <w:pPr>
        <w:numPr>
          <w:ilvl w:val="0"/>
          <w:numId w:val="1"/>
        </w:numPr>
      </w:pPr>
      <w:r>
        <w:t xml:space="preserve">Industry has grown 53% in terms of total </w:t>
      </w:r>
      <w:r w:rsidR="00134565">
        <w:t>investments. Birla has grown mere 28% during two years, Half the growth rate of industry. Axis has shown whopping 94% growth, which is two times the industry growth and four times the Birla growth.</w:t>
      </w:r>
    </w:p>
    <w:p w14:paraId="26A0F156" w14:textId="075733E8" w:rsidR="001E4304" w:rsidRDefault="001E4304" w:rsidP="00ED74E7"/>
    <w:p w14:paraId="376EFF95" w14:textId="384FC8BA" w:rsidR="001E4304" w:rsidRDefault="001E4304" w:rsidP="00ED74E7"/>
    <w:p w14:paraId="67D459FD" w14:textId="588D379E" w:rsidR="001E4304" w:rsidRDefault="001E4304" w:rsidP="00ED74E7"/>
    <w:p w14:paraId="3C9B9A24" w14:textId="7320A1E4" w:rsidR="001E4304" w:rsidRDefault="00ED74E7" w:rsidP="00ED74E7">
      <w:pPr>
        <w:rPr>
          <w:b/>
          <w:bCs/>
          <w:sz w:val="32"/>
          <w:szCs w:val="32"/>
        </w:rPr>
      </w:pPr>
      <w:r w:rsidRPr="00ED74E7">
        <w:rPr>
          <w:b/>
          <w:bCs/>
          <w:sz w:val="32"/>
          <w:szCs w:val="32"/>
        </w:rPr>
        <w:t>Investor Types</w:t>
      </w:r>
      <w:r>
        <w:rPr>
          <w:b/>
          <w:bCs/>
          <w:sz w:val="32"/>
          <w:szCs w:val="32"/>
        </w:rPr>
        <w:t>:</w:t>
      </w:r>
    </w:p>
    <w:p w14:paraId="45EFA87B" w14:textId="18AB197B" w:rsidR="001E4304" w:rsidRPr="001E4304" w:rsidRDefault="0082057F" w:rsidP="00ED74E7">
      <w:pPr>
        <w:rPr>
          <w:b/>
          <w:bCs/>
          <w:sz w:val="32"/>
          <w:szCs w:val="32"/>
        </w:rPr>
      </w:pPr>
      <w:r>
        <w:rPr>
          <w:b/>
          <w:bCs/>
          <w:sz w:val="32"/>
          <w:szCs w:val="32"/>
        </w:rPr>
        <w:tab/>
      </w:r>
    </w:p>
    <w:tbl>
      <w:tblPr>
        <w:tblpPr w:leftFromText="180" w:rightFromText="180" w:vertAnchor="page" w:horzAnchor="margin" w:tblpXSpec="center" w:tblpY="12082"/>
        <w:tblW w:w="6140" w:type="dxa"/>
        <w:shd w:val="clear" w:color="auto" w:fill="DEEAF6" w:themeFill="accent5" w:themeFillTint="33"/>
        <w:tblLook w:val="04A0" w:firstRow="1" w:lastRow="0" w:firstColumn="1" w:lastColumn="0" w:noHBand="0" w:noVBand="1"/>
      </w:tblPr>
      <w:tblGrid>
        <w:gridCol w:w="960"/>
        <w:gridCol w:w="1060"/>
        <w:gridCol w:w="1240"/>
        <w:gridCol w:w="960"/>
        <w:gridCol w:w="960"/>
        <w:gridCol w:w="960"/>
      </w:tblGrid>
      <w:tr w:rsidR="00F72E1E" w:rsidRPr="0082057F" w14:paraId="12EB07AB" w14:textId="77777777" w:rsidTr="00F72E1E">
        <w:trPr>
          <w:trHeight w:val="300"/>
        </w:trPr>
        <w:tc>
          <w:tcPr>
            <w:tcW w:w="960" w:type="dxa"/>
            <w:tcBorders>
              <w:top w:val="nil"/>
              <w:left w:val="nil"/>
              <w:bottom w:val="nil"/>
              <w:right w:val="nil"/>
            </w:tcBorders>
            <w:shd w:val="clear" w:color="auto" w:fill="DEEAF6" w:themeFill="accent5" w:themeFillTint="33"/>
            <w:noWrap/>
            <w:vAlign w:val="bottom"/>
            <w:hideMark/>
          </w:tcPr>
          <w:p w14:paraId="7F391326" w14:textId="77777777" w:rsidR="00F72E1E" w:rsidRPr="0082057F" w:rsidRDefault="00F72E1E" w:rsidP="00F72E1E">
            <w:pPr>
              <w:rPr>
                <w:rFonts w:ascii="Times New Roman" w:eastAsia="Times New Roman" w:hAnsi="Times New Roman" w:cs="Times New Roman"/>
                <w:lang w:eastAsia="en-IN"/>
              </w:rPr>
            </w:pPr>
          </w:p>
        </w:tc>
        <w:tc>
          <w:tcPr>
            <w:tcW w:w="1060" w:type="dxa"/>
            <w:tcBorders>
              <w:top w:val="nil"/>
              <w:left w:val="nil"/>
              <w:bottom w:val="nil"/>
              <w:right w:val="nil"/>
            </w:tcBorders>
            <w:shd w:val="clear" w:color="auto" w:fill="DEEAF6" w:themeFill="accent5" w:themeFillTint="33"/>
            <w:noWrap/>
            <w:vAlign w:val="bottom"/>
            <w:hideMark/>
          </w:tcPr>
          <w:p w14:paraId="4BA0982F" w14:textId="77777777" w:rsidR="00F72E1E" w:rsidRPr="0082057F" w:rsidRDefault="00F72E1E" w:rsidP="00F72E1E">
            <w:pPr>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Banks</w:t>
            </w:r>
          </w:p>
        </w:tc>
        <w:tc>
          <w:tcPr>
            <w:tcW w:w="1240" w:type="dxa"/>
            <w:tcBorders>
              <w:top w:val="nil"/>
              <w:left w:val="nil"/>
              <w:bottom w:val="nil"/>
              <w:right w:val="nil"/>
            </w:tcBorders>
            <w:shd w:val="clear" w:color="auto" w:fill="DEEAF6" w:themeFill="accent5" w:themeFillTint="33"/>
            <w:noWrap/>
            <w:vAlign w:val="bottom"/>
            <w:hideMark/>
          </w:tcPr>
          <w:p w14:paraId="6AFB14D2" w14:textId="77777777" w:rsidR="00F72E1E" w:rsidRPr="0082057F" w:rsidRDefault="00F72E1E" w:rsidP="00F72E1E">
            <w:pPr>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Corporates</w:t>
            </w:r>
          </w:p>
        </w:tc>
        <w:tc>
          <w:tcPr>
            <w:tcW w:w="960" w:type="dxa"/>
            <w:tcBorders>
              <w:top w:val="nil"/>
              <w:left w:val="nil"/>
              <w:bottom w:val="nil"/>
              <w:right w:val="nil"/>
            </w:tcBorders>
            <w:shd w:val="clear" w:color="auto" w:fill="DEEAF6" w:themeFill="accent5" w:themeFillTint="33"/>
            <w:noWrap/>
            <w:vAlign w:val="bottom"/>
            <w:hideMark/>
          </w:tcPr>
          <w:p w14:paraId="3D5A9CA6" w14:textId="77777777" w:rsidR="00F72E1E" w:rsidRPr="0082057F" w:rsidRDefault="00F72E1E" w:rsidP="00F72E1E">
            <w:pPr>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FIIs</w:t>
            </w:r>
          </w:p>
        </w:tc>
        <w:tc>
          <w:tcPr>
            <w:tcW w:w="960" w:type="dxa"/>
            <w:tcBorders>
              <w:top w:val="nil"/>
              <w:left w:val="nil"/>
              <w:bottom w:val="nil"/>
              <w:right w:val="nil"/>
            </w:tcBorders>
            <w:shd w:val="clear" w:color="auto" w:fill="DEEAF6" w:themeFill="accent5" w:themeFillTint="33"/>
            <w:noWrap/>
            <w:vAlign w:val="bottom"/>
            <w:hideMark/>
          </w:tcPr>
          <w:p w14:paraId="5838568F" w14:textId="77777777" w:rsidR="00F72E1E" w:rsidRPr="0082057F" w:rsidRDefault="00F72E1E" w:rsidP="00F72E1E">
            <w:pPr>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HNIs</w:t>
            </w:r>
          </w:p>
        </w:tc>
        <w:tc>
          <w:tcPr>
            <w:tcW w:w="960" w:type="dxa"/>
            <w:tcBorders>
              <w:top w:val="nil"/>
              <w:left w:val="nil"/>
              <w:bottom w:val="nil"/>
              <w:right w:val="nil"/>
            </w:tcBorders>
            <w:shd w:val="clear" w:color="auto" w:fill="DEEAF6" w:themeFill="accent5" w:themeFillTint="33"/>
            <w:noWrap/>
            <w:vAlign w:val="bottom"/>
            <w:hideMark/>
          </w:tcPr>
          <w:p w14:paraId="045D8604" w14:textId="77777777" w:rsidR="00F72E1E" w:rsidRPr="0082057F" w:rsidRDefault="00F72E1E" w:rsidP="00F72E1E">
            <w:pPr>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Retail</w:t>
            </w:r>
          </w:p>
        </w:tc>
      </w:tr>
      <w:tr w:rsidR="00F72E1E" w:rsidRPr="0082057F" w14:paraId="465573C0" w14:textId="77777777" w:rsidTr="00F72E1E">
        <w:trPr>
          <w:trHeight w:val="300"/>
        </w:trPr>
        <w:tc>
          <w:tcPr>
            <w:tcW w:w="960" w:type="dxa"/>
            <w:tcBorders>
              <w:top w:val="nil"/>
              <w:left w:val="nil"/>
              <w:bottom w:val="nil"/>
              <w:right w:val="nil"/>
            </w:tcBorders>
            <w:shd w:val="clear" w:color="auto" w:fill="DEEAF6" w:themeFill="accent5" w:themeFillTint="33"/>
            <w:noWrap/>
            <w:vAlign w:val="bottom"/>
            <w:hideMark/>
          </w:tcPr>
          <w:p w14:paraId="5D91F825"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Mar-20</w:t>
            </w:r>
          </w:p>
        </w:tc>
        <w:tc>
          <w:tcPr>
            <w:tcW w:w="1060" w:type="dxa"/>
            <w:tcBorders>
              <w:top w:val="nil"/>
              <w:left w:val="nil"/>
              <w:bottom w:val="nil"/>
              <w:right w:val="nil"/>
            </w:tcBorders>
            <w:shd w:val="clear" w:color="auto" w:fill="DEEAF6" w:themeFill="accent5" w:themeFillTint="33"/>
            <w:noWrap/>
            <w:vAlign w:val="bottom"/>
            <w:hideMark/>
          </w:tcPr>
          <w:p w14:paraId="43E99927"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3.10%</w:t>
            </w:r>
          </w:p>
        </w:tc>
        <w:tc>
          <w:tcPr>
            <w:tcW w:w="1240" w:type="dxa"/>
            <w:tcBorders>
              <w:top w:val="nil"/>
              <w:left w:val="nil"/>
              <w:bottom w:val="nil"/>
              <w:right w:val="nil"/>
            </w:tcBorders>
            <w:shd w:val="clear" w:color="auto" w:fill="DEEAF6" w:themeFill="accent5" w:themeFillTint="33"/>
            <w:noWrap/>
            <w:vAlign w:val="bottom"/>
            <w:hideMark/>
          </w:tcPr>
          <w:p w14:paraId="73A554B7"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44.46%</w:t>
            </w:r>
          </w:p>
        </w:tc>
        <w:tc>
          <w:tcPr>
            <w:tcW w:w="960" w:type="dxa"/>
            <w:tcBorders>
              <w:top w:val="nil"/>
              <w:left w:val="nil"/>
              <w:bottom w:val="nil"/>
              <w:right w:val="nil"/>
            </w:tcBorders>
            <w:shd w:val="clear" w:color="auto" w:fill="DEEAF6" w:themeFill="accent5" w:themeFillTint="33"/>
            <w:noWrap/>
            <w:vAlign w:val="bottom"/>
            <w:hideMark/>
          </w:tcPr>
          <w:p w14:paraId="28AFF1BC"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0.22%</w:t>
            </w:r>
          </w:p>
        </w:tc>
        <w:tc>
          <w:tcPr>
            <w:tcW w:w="960" w:type="dxa"/>
            <w:tcBorders>
              <w:top w:val="nil"/>
              <w:left w:val="nil"/>
              <w:bottom w:val="nil"/>
              <w:right w:val="nil"/>
            </w:tcBorders>
            <w:shd w:val="clear" w:color="auto" w:fill="DEEAF6" w:themeFill="accent5" w:themeFillTint="33"/>
            <w:noWrap/>
            <w:vAlign w:val="bottom"/>
            <w:hideMark/>
          </w:tcPr>
          <w:p w14:paraId="00D97984"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33.21%</w:t>
            </w:r>
          </w:p>
        </w:tc>
        <w:tc>
          <w:tcPr>
            <w:tcW w:w="960" w:type="dxa"/>
            <w:tcBorders>
              <w:top w:val="nil"/>
              <w:left w:val="nil"/>
              <w:bottom w:val="nil"/>
              <w:right w:val="nil"/>
            </w:tcBorders>
            <w:shd w:val="clear" w:color="auto" w:fill="DEEAF6" w:themeFill="accent5" w:themeFillTint="33"/>
            <w:noWrap/>
            <w:vAlign w:val="bottom"/>
            <w:hideMark/>
          </w:tcPr>
          <w:p w14:paraId="3217639E"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19.01%</w:t>
            </w:r>
          </w:p>
        </w:tc>
      </w:tr>
      <w:tr w:rsidR="00F72E1E" w:rsidRPr="0082057F" w14:paraId="0096C04E" w14:textId="77777777" w:rsidTr="00F72E1E">
        <w:trPr>
          <w:trHeight w:val="300"/>
        </w:trPr>
        <w:tc>
          <w:tcPr>
            <w:tcW w:w="960" w:type="dxa"/>
            <w:tcBorders>
              <w:top w:val="nil"/>
              <w:left w:val="nil"/>
              <w:bottom w:val="nil"/>
              <w:right w:val="nil"/>
            </w:tcBorders>
            <w:shd w:val="clear" w:color="auto" w:fill="DEEAF6" w:themeFill="accent5" w:themeFillTint="33"/>
            <w:noWrap/>
            <w:vAlign w:val="bottom"/>
            <w:hideMark/>
          </w:tcPr>
          <w:p w14:paraId="57465970"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Mar-21</w:t>
            </w:r>
          </w:p>
        </w:tc>
        <w:tc>
          <w:tcPr>
            <w:tcW w:w="1060" w:type="dxa"/>
            <w:tcBorders>
              <w:top w:val="nil"/>
              <w:left w:val="nil"/>
              <w:bottom w:val="nil"/>
              <w:right w:val="nil"/>
            </w:tcBorders>
            <w:shd w:val="clear" w:color="auto" w:fill="DEEAF6" w:themeFill="accent5" w:themeFillTint="33"/>
            <w:noWrap/>
            <w:vAlign w:val="bottom"/>
            <w:hideMark/>
          </w:tcPr>
          <w:p w14:paraId="40E20730"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1.79%</w:t>
            </w:r>
          </w:p>
        </w:tc>
        <w:tc>
          <w:tcPr>
            <w:tcW w:w="1240" w:type="dxa"/>
            <w:tcBorders>
              <w:top w:val="nil"/>
              <w:left w:val="nil"/>
              <w:bottom w:val="nil"/>
              <w:right w:val="nil"/>
            </w:tcBorders>
            <w:shd w:val="clear" w:color="auto" w:fill="DEEAF6" w:themeFill="accent5" w:themeFillTint="33"/>
            <w:noWrap/>
            <w:vAlign w:val="bottom"/>
            <w:hideMark/>
          </w:tcPr>
          <w:p w14:paraId="3A3A8CB0"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44.18%</w:t>
            </w:r>
          </w:p>
        </w:tc>
        <w:tc>
          <w:tcPr>
            <w:tcW w:w="960" w:type="dxa"/>
            <w:tcBorders>
              <w:top w:val="nil"/>
              <w:left w:val="nil"/>
              <w:bottom w:val="nil"/>
              <w:right w:val="nil"/>
            </w:tcBorders>
            <w:shd w:val="clear" w:color="auto" w:fill="DEEAF6" w:themeFill="accent5" w:themeFillTint="33"/>
            <w:noWrap/>
            <w:vAlign w:val="bottom"/>
            <w:hideMark/>
          </w:tcPr>
          <w:p w14:paraId="73340404"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0.18%</w:t>
            </w:r>
          </w:p>
        </w:tc>
        <w:tc>
          <w:tcPr>
            <w:tcW w:w="960" w:type="dxa"/>
            <w:tcBorders>
              <w:top w:val="nil"/>
              <w:left w:val="nil"/>
              <w:bottom w:val="nil"/>
              <w:right w:val="nil"/>
            </w:tcBorders>
            <w:shd w:val="clear" w:color="auto" w:fill="DEEAF6" w:themeFill="accent5" w:themeFillTint="33"/>
            <w:noWrap/>
            <w:vAlign w:val="bottom"/>
            <w:hideMark/>
          </w:tcPr>
          <w:p w14:paraId="2D8B039E"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31.66%</w:t>
            </w:r>
          </w:p>
        </w:tc>
        <w:tc>
          <w:tcPr>
            <w:tcW w:w="960" w:type="dxa"/>
            <w:tcBorders>
              <w:top w:val="nil"/>
              <w:left w:val="nil"/>
              <w:bottom w:val="nil"/>
              <w:right w:val="nil"/>
            </w:tcBorders>
            <w:shd w:val="clear" w:color="auto" w:fill="DEEAF6" w:themeFill="accent5" w:themeFillTint="33"/>
            <w:noWrap/>
            <w:vAlign w:val="bottom"/>
            <w:hideMark/>
          </w:tcPr>
          <w:p w14:paraId="4916891C"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21.81%</w:t>
            </w:r>
          </w:p>
        </w:tc>
      </w:tr>
      <w:tr w:rsidR="00F72E1E" w:rsidRPr="0082057F" w14:paraId="4CF58BFF" w14:textId="77777777" w:rsidTr="00F72E1E">
        <w:trPr>
          <w:trHeight w:val="300"/>
        </w:trPr>
        <w:tc>
          <w:tcPr>
            <w:tcW w:w="960" w:type="dxa"/>
            <w:tcBorders>
              <w:top w:val="nil"/>
              <w:left w:val="nil"/>
              <w:bottom w:val="nil"/>
              <w:right w:val="nil"/>
            </w:tcBorders>
            <w:shd w:val="clear" w:color="auto" w:fill="DEEAF6" w:themeFill="accent5" w:themeFillTint="33"/>
            <w:noWrap/>
            <w:vAlign w:val="bottom"/>
            <w:hideMark/>
          </w:tcPr>
          <w:p w14:paraId="325C2E9A"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Mar-22</w:t>
            </w:r>
          </w:p>
        </w:tc>
        <w:tc>
          <w:tcPr>
            <w:tcW w:w="1060" w:type="dxa"/>
            <w:tcBorders>
              <w:top w:val="nil"/>
              <w:left w:val="nil"/>
              <w:bottom w:val="nil"/>
              <w:right w:val="nil"/>
            </w:tcBorders>
            <w:shd w:val="clear" w:color="auto" w:fill="DEEAF6" w:themeFill="accent5" w:themeFillTint="33"/>
            <w:noWrap/>
            <w:vAlign w:val="bottom"/>
            <w:hideMark/>
          </w:tcPr>
          <w:p w14:paraId="1574A19E"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1.63%</w:t>
            </w:r>
          </w:p>
        </w:tc>
        <w:tc>
          <w:tcPr>
            <w:tcW w:w="1240" w:type="dxa"/>
            <w:tcBorders>
              <w:top w:val="nil"/>
              <w:left w:val="nil"/>
              <w:bottom w:val="nil"/>
              <w:right w:val="nil"/>
            </w:tcBorders>
            <w:shd w:val="clear" w:color="auto" w:fill="DEEAF6" w:themeFill="accent5" w:themeFillTint="33"/>
            <w:noWrap/>
            <w:vAlign w:val="bottom"/>
            <w:hideMark/>
          </w:tcPr>
          <w:p w14:paraId="3668D6F2"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43.06%</w:t>
            </w:r>
          </w:p>
        </w:tc>
        <w:tc>
          <w:tcPr>
            <w:tcW w:w="960" w:type="dxa"/>
            <w:tcBorders>
              <w:top w:val="nil"/>
              <w:left w:val="nil"/>
              <w:bottom w:val="nil"/>
              <w:right w:val="nil"/>
            </w:tcBorders>
            <w:shd w:val="clear" w:color="auto" w:fill="DEEAF6" w:themeFill="accent5" w:themeFillTint="33"/>
            <w:noWrap/>
            <w:vAlign w:val="bottom"/>
            <w:hideMark/>
          </w:tcPr>
          <w:p w14:paraId="6F0AC802"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0.12%</w:t>
            </w:r>
          </w:p>
        </w:tc>
        <w:tc>
          <w:tcPr>
            <w:tcW w:w="960" w:type="dxa"/>
            <w:tcBorders>
              <w:top w:val="nil"/>
              <w:left w:val="nil"/>
              <w:bottom w:val="nil"/>
              <w:right w:val="nil"/>
            </w:tcBorders>
            <w:shd w:val="clear" w:color="auto" w:fill="DEEAF6" w:themeFill="accent5" w:themeFillTint="33"/>
            <w:noWrap/>
            <w:vAlign w:val="bottom"/>
            <w:hideMark/>
          </w:tcPr>
          <w:p w14:paraId="0BA7DED4"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31.85%</w:t>
            </w:r>
          </w:p>
        </w:tc>
        <w:tc>
          <w:tcPr>
            <w:tcW w:w="960" w:type="dxa"/>
            <w:tcBorders>
              <w:top w:val="nil"/>
              <w:left w:val="nil"/>
              <w:bottom w:val="nil"/>
              <w:right w:val="nil"/>
            </w:tcBorders>
            <w:shd w:val="clear" w:color="auto" w:fill="DEEAF6" w:themeFill="accent5" w:themeFillTint="33"/>
            <w:noWrap/>
            <w:vAlign w:val="bottom"/>
            <w:hideMark/>
          </w:tcPr>
          <w:p w14:paraId="421C2649" w14:textId="77777777" w:rsidR="00F72E1E" w:rsidRPr="0082057F" w:rsidRDefault="00F72E1E" w:rsidP="00F72E1E">
            <w:pPr>
              <w:jc w:val="right"/>
              <w:rPr>
                <w:rFonts w:ascii="Calibri" w:eastAsia="Times New Roman" w:hAnsi="Calibri" w:cs="Calibri"/>
                <w:color w:val="000000"/>
                <w:sz w:val="22"/>
                <w:szCs w:val="22"/>
                <w:lang w:eastAsia="en-IN"/>
              </w:rPr>
            </w:pPr>
            <w:r w:rsidRPr="0082057F">
              <w:rPr>
                <w:rFonts w:ascii="Calibri" w:eastAsia="Times New Roman" w:hAnsi="Calibri" w:cs="Calibri"/>
                <w:color w:val="000000"/>
                <w:sz w:val="22"/>
                <w:szCs w:val="22"/>
                <w:lang w:eastAsia="en-IN"/>
              </w:rPr>
              <w:t>23.34%</w:t>
            </w:r>
          </w:p>
        </w:tc>
      </w:tr>
    </w:tbl>
    <w:p w14:paraId="52621547" w14:textId="7258492F" w:rsidR="0082057F" w:rsidRDefault="0082057F" w:rsidP="0082057F">
      <w:pPr>
        <w:ind w:left="720"/>
      </w:pPr>
    </w:p>
    <w:p w14:paraId="3FFC7E4B" w14:textId="5485E494" w:rsidR="0082057F" w:rsidRDefault="0082057F" w:rsidP="0082057F">
      <w:pPr>
        <w:ind w:left="720"/>
      </w:pPr>
    </w:p>
    <w:p w14:paraId="2F9ED9BC" w14:textId="7C13BE36" w:rsidR="0082057F" w:rsidRDefault="0082057F" w:rsidP="0082057F">
      <w:pPr>
        <w:ind w:left="720"/>
      </w:pPr>
    </w:p>
    <w:p w14:paraId="1C75114F" w14:textId="5225C88F" w:rsidR="0082057F" w:rsidRDefault="0082057F" w:rsidP="0082057F">
      <w:pPr>
        <w:ind w:left="720"/>
      </w:pPr>
    </w:p>
    <w:p w14:paraId="0E8BED05" w14:textId="0688AF20" w:rsidR="0082057F" w:rsidRDefault="0082057F" w:rsidP="0082057F"/>
    <w:p w14:paraId="44B30FA1" w14:textId="2C51BB6F" w:rsidR="0082057F" w:rsidRDefault="0082057F" w:rsidP="0082057F">
      <w:r>
        <w:tab/>
        <w:t>Sector wise break of investors shows that corporates, HNIs and Retail investors make up the majority of investments. Retail investors share is growing constantly while others are either same or reducing. As there is still lot of untapped potential in retail segment, there can be significant increase of it in coming years.</w:t>
      </w:r>
    </w:p>
    <w:p w14:paraId="56904CBE" w14:textId="78DCF06F" w:rsidR="002E2982" w:rsidRDefault="002E2982" w:rsidP="0082057F"/>
    <w:p w14:paraId="3C8E0B4F" w14:textId="30549DEE" w:rsidR="002E2982" w:rsidRDefault="002E2982" w:rsidP="0082057F"/>
    <w:p w14:paraId="393B9132" w14:textId="77777777" w:rsidR="002E2982" w:rsidRPr="0082057F" w:rsidRDefault="002E2982" w:rsidP="0082057F"/>
    <w:p w14:paraId="409B9937" w14:textId="77777777" w:rsidR="002E2982" w:rsidRPr="002E2982" w:rsidRDefault="001E4304" w:rsidP="001E4304">
      <w:pPr>
        <w:numPr>
          <w:ilvl w:val="0"/>
          <w:numId w:val="1"/>
        </w:numPr>
      </w:pPr>
      <w:r w:rsidRPr="001E4304">
        <w:rPr>
          <w:b/>
          <w:bCs/>
        </w:rPr>
        <w:t xml:space="preserve">Bank Investors: </w:t>
      </w:r>
    </w:p>
    <w:p w14:paraId="316670C6" w14:textId="123EDB90" w:rsidR="001E4304" w:rsidRPr="001E4304" w:rsidRDefault="002E2982" w:rsidP="00083554">
      <w:pPr>
        <w:ind w:left="720"/>
      </w:pPr>
      <w:r>
        <w:t>Birla and Axis have gained share of bank investors slightly but others have reduced or remained the same.</w:t>
      </w:r>
    </w:p>
    <w:p w14:paraId="137BBBBC" w14:textId="7ACFE8D8" w:rsidR="001E4304" w:rsidRPr="001E4304" w:rsidRDefault="001E4304" w:rsidP="001E4304">
      <w:pPr>
        <w:numPr>
          <w:ilvl w:val="0"/>
          <w:numId w:val="1"/>
        </w:numPr>
      </w:pPr>
      <w:r w:rsidRPr="001E4304">
        <w:rPr>
          <w:b/>
          <w:bCs/>
        </w:rPr>
        <w:t xml:space="preserve">Corporate Investors: </w:t>
      </w:r>
      <w:r w:rsidRPr="001E4304">
        <w:t xml:space="preserve">Birla lost significant </w:t>
      </w:r>
      <w:r w:rsidR="0082057F" w:rsidRPr="001E4304">
        <w:t>amount (</w:t>
      </w:r>
      <w:r w:rsidRPr="001E4304">
        <w:t>0.87%) of market share here along with HDFC and ICICI. SBI had shown a whopping growth of 2% in corporate investors out of 2.7% of its total market share growth.</w:t>
      </w:r>
    </w:p>
    <w:p w14:paraId="0CDDE627" w14:textId="7A061954" w:rsidR="001E4304" w:rsidRPr="001E4304" w:rsidRDefault="001E4304" w:rsidP="001E4304">
      <w:pPr>
        <w:numPr>
          <w:ilvl w:val="0"/>
          <w:numId w:val="1"/>
        </w:numPr>
      </w:pPr>
      <w:r w:rsidRPr="001E4304">
        <w:rPr>
          <w:b/>
          <w:bCs/>
        </w:rPr>
        <w:t xml:space="preserve">HNIs: </w:t>
      </w:r>
      <w:r w:rsidR="00D84CC3" w:rsidRPr="001E4304">
        <w:t>Birla (</w:t>
      </w:r>
      <w:r w:rsidRPr="001E4304">
        <w:t xml:space="preserve">0.71%), HDFC and ICICI lost share in HNIs. SBI, Axis and Kotak had shown growth here with Axis being </w:t>
      </w:r>
      <w:r w:rsidR="00D84CC3" w:rsidRPr="001E4304">
        <w:t>highest (</w:t>
      </w:r>
      <w:r w:rsidRPr="001E4304">
        <w:t>0.49%).</w:t>
      </w:r>
    </w:p>
    <w:p w14:paraId="5E8E5697" w14:textId="3BD042B7" w:rsidR="007E6C46" w:rsidRDefault="001E4304" w:rsidP="00654CCB">
      <w:pPr>
        <w:numPr>
          <w:ilvl w:val="0"/>
          <w:numId w:val="1"/>
        </w:numPr>
      </w:pPr>
      <w:r w:rsidRPr="001E4304">
        <w:rPr>
          <w:b/>
          <w:bCs/>
        </w:rPr>
        <w:t xml:space="preserve">Retail: </w:t>
      </w:r>
      <w:r w:rsidRPr="001E4304">
        <w:t>Every player gained share here</w:t>
      </w:r>
      <w:r w:rsidR="00F72E1E">
        <w:t>, while</w:t>
      </w:r>
      <w:r w:rsidRPr="001E4304">
        <w:t xml:space="preserve"> Birla gained the </w:t>
      </w:r>
      <w:r w:rsidR="00D84CC3" w:rsidRPr="001E4304">
        <w:t>lowest (</w:t>
      </w:r>
      <w:r w:rsidRPr="001E4304">
        <w:t xml:space="preserve">0.06%) and Axis gained the </w:t>
      </w:r>
      <w:r w:rsidR="00D84CC3" w:rsidRPr="001E4304">
        <w:t>highest (</w:t>
      </w:r>
      <w:r w:rsidRPr="001E4304">
        <w:t>0.77%)</w:t>
      </w:r>
    </w:p>
    <w:p w14:paraId="79D95049" w14:textId="77777777" w:rsidR="000B47B6" w:rsidRDefault="000B47B6" w:rsidP="000B47B6"/>
    <w:p w14:paraId="4C7DE721" w14:textId="77777777" w:rsidR="000B47B6" w:rsidRDefault="000B47B6" w:rsidP="000B47B6"/>
    <w:p w14:paraId="3B13FC6C" w14:textId="2AA719EF" w:rsidR="000B47B6" w:rsidRDefault="000B47B6" w:rsidP="000B47B6">
      <w:pPr>
        <w:rPr>
          <w:b/>
          <w:bCs/>
          <w:sz w:val="32"/>
          <w:szCs w:val="32"/>
        </w:rPr>
      </w:pPr>
      <w:r w:rsidRPr="000B47B6">
        <w:rPr>
          <w:b/>
          <w:bCs/>
          <w:sz w:val="32"/>
          <w:szCs w:val="32"/>
        </w:rPr>
        <w:t>HNI Channel</w:t>
      </w:r>
      <w:r w:rsidRPr="000B47B6">
        <w:rPr>
          <w:b/>
          <w:bCs/>
          <w:sz w:val="32"/>
          <w:szCs w:val="32"/>
        </w:rPr>
        <w:t>:</w:t>
      </w:r>
    </w:p>
    <w:p w14:paraId="0E90D841" w14:textId="4DB48C2D" w:rsidR="000B47B6" w:rsidRDefault="000B47B6" w:rsidP="000B47B6"/>
    <w:p w14:paraId="227269D9" w14:textId="34356DE2" w:rsidR="000B47B6" w:rsidRDefault="000B47B6" w:rsidP="000B47B6">
      <w:pPr>
        <w:pStyle w:val="ListParagraph"/>
        <w:numPr>
          <w:ilvl w:val="0"/>
          <w:numId w:val="5"/>
        </w:numPr>
      </w:pPr>
      <w:r>
        <w:t>TNAD remains the channel through which majority of HNIs investments come through. Followed by TDP and TAD.</w:t>
      </w:r>
    </w:p>
    <w:p w14:paraId="00C55909" w14:textId="1883A92B" w:rsidR="000B47B6" w:rsidRDefault="000B47B6" w:rsidP="000B47B6">
      <w:pPr>
        <w:pStyle w:val="ListParagraph"/>
        <w:numPr>
          <w:ilvl w:val="0"/>
          <w:numId w:val="5"/>
        </w:numPr>
      </w:pPr>
      <w:r>
        <w:t xml:space="preserve">But </w:t>
      </w:r>
      <w:r w:rsidR="000B473B">
        <w:t>Birla</w:t>
      </w:r>
      <w:r>
        <w:t xml:space="preserve"> lost share in TNAD and TDP where major investments flow through. It gained meagre share in TAD.</w:t>
      </w:r>
    </w:p>
    <w:p w14:paraId="4A5262F3" w14:textId="707E2018" w:rsidR="000B47B6" w:rsidRDefault="000B47B6" w:rsidP="000B47B6">
      <w:pPr>
        <w:pStyle w:val="ListParagraph"/>
        <w:numPr>
          <w:ilvl w:val="0"/>
          <w:numId w:val="5"/>
        </w:numPr>
      </w:pPr>
      <w:r>
        <w:t>In exactly converse way Axis lost share in TAD but gained huge share in TNAD and TDP.</w:t>
      </w:r>
    </w:p>
    <w:p w14:paraId="31A23986" w14:textId="34B7BEE4" w:rsidR="000B473B" w:rsidRDefault="000F0129" w:rsidP="000B47B6">
      <w:pPr>
        <w:pStyle w:val="ListParagraph"/>
        <w:numPr>
          <w:ilvl w:val="0"/>
          <w:numId w:val="5"/>
        </w:numPr>
      </w:pPr>
      <w:r>
        <w:t xml:space="preserve">Birla maintained the same composition between TAD, TDP and TNAD for last two years. But axis has their share increased in TDP and TNAD, but cutting down the TAD. </w:t>
      </w:r>
      <w:r w:rsidR="00157916">
        <w:t>Axis has much scope to improve in TAD through its banking channel.</w:t>
      </w:r>
    </w:p>
    <w:p w14:paraId="08230008" w14:textId="01C60CD6" w:rsidR="000338F4" w:rsidRDefault="000338F4" w:rsidP="000B47B6">
      <w:pPr>
        <w:pStyle w:val="ListParagraph"/>
        <w:numPr>
          <w:ilvl w:val="0"/>
          <w:numId w:val="5"/>
        </w:numPr>
      </w:pPr>
      <w:r>
        <w:t>Rate of growth of Birla in TAD is double the HNI industry TAD growth. Highest of all the players</w:t>
      </w:r>
      <w:r w:rsidR="00113202">
        <w:t xml:space="preserve"> is UTI which showed 15 times the growth of industry.</w:t>
      </w:r>
    </w:p>
    <w:p w14:paraId="4290C12C" w14:textId="3EF0DD84" w:rsidR="000338F4" w:rsidRDefault="00113202" w:rsidP="000B47B6">
      <w:pPr>
        <w:pStyle w:val="ListParagraph"/>
        <w:numPr>
          <w:ilvl w:val="0"/>
          <w:numId w:val="5"/>
        </w:numPr>
      </w:pPr>
      <w:r>
        <w:t>Axis grew 2.5 times the industry in TDP category. Except Birla and HDFC everybody else grew in line with or better than industry. HDFC isn’t taking advantage of banking channel it has, while Axis and SBI are taking maximum advantage here.</w:t>
      </w:r>
    </w:p>
    <w:p w14:paraId="0DF5CF47" w14:textId="4A0484AA" w:rsidR="00E772BC" w:rsidRDefault="00474CA8" w:rsidP="00C13C74">
      <w:pPr>
        <w:pStyle w:val="ListParagraph"/>
        <w:numPr>
          <w:ilvl w:val="0"/>
          <w:numId w:val="5"/>
        </w:numPr>
      </w:pPr>
      <w:r>
        <w:t>Axis grew 3 times the TNAD industry growth and Kotak grew 1.5 times the TNAD industry growth. Birla showed lowest growth rate in this channel. This needs immense improvement as we don’t have banking channel and we have to rely on this channel for maximum growth.</w:t>
      </w:r>
    </w:p>
    <w:p w14:paraId="2A625709" w14:textId="77777777" w:rsidR="0000128C" w:rsidRDefault="0000128C" w:rsidP="0000128C">
      <w:pPr>
        <w:pStyle w:val="ListParagraph"/>
      </w:pPr>
    </w:p>
    <w:p w14:paraId="21F00100" w14:textId="4375817F" w:rsidR="00C13C74" w:rsidRPr="00E772BC" w:rsidRDefault="00C13C74" w:rsidP="00E772BC">
      <w:pPr>
        <w:ind w:left="360"/>
      </w:pPr>
      <w:r w:rsidRPr="00E772BC">
        <w:rPr>
          <w:b/>
          <w:bCs/>
          <w:sz w:val="32"/>
          <w:szCs w:val="32"/>
        </w:rPr>
        <w:t xml:space="preserve">HNI </w:t>
      </w:r>
      <w:r w:rsidRPr="00E772BC">
        <w:rPr>
          <w:b/>
          <w:bCs/>
          <w:sz w:val="32"/>
          <w:szCs w:val="32"/>
        </w:rPr>
        <w:t>Product</w:t>
      </w:r>
      <w:r w:rsidRPr="00E772BC">
        <w:rPr>
          <w:b/>
          <w:bCs/>
          <w:sz w:val="32"/>
          <w:szCs w:val="32"/>
        </w:rPr>
        <w:t>:</w:t>
      </w:r>
    </w:p>
    <w:p w14:paraId="4D82906C" w14:textId="3347879E" w:rsidR="00C13C74" w:rsidRDefault="00C13C74" w:rsidP="00C13C74">
      <w:pPr>
        <w:pStyle w:val="ListParagraph"/>
        <w:numPr>
          <w:ilvl w:val="0"/>
          <w:numId w:val="7"/>
        </w:numPr>
      </w:pPr>
      <w:r>
        <w:t>Complete market trend shows that funds invested in equity and balanced schemes are increasing while debt, liquid and FMPs are decreasing. People are getting educated regarding risk and returns which is pushing them to invest in high-risk areas.</w:t>
      </w:r>
    </w:p>
    <w:p w14:paraId="5A2A9336" w14:textId="7CF3D626" w:rsidR="001F5B10" w:rsidRDefault="001F5B10" w:rsidP="00C13C74">
      <w:pPr>
        <w:pStyle w:val="ListParagraph"/>
        <w:numPr>
          <w:ilvl w:val="0"/>
          <w:numId w:val="7"/>
        </w:numPr>
      </w:pPr>
      <w:r>
        <w:t>Low returns and lack of innovation in debt funds is causing consumers to shift to minimum risk funds with high returns like balanced schemes. Balanced schemes are also offering tax benefits which help HNIs in saving tax also.</w:t>
      </w:r>
    </w:p>
    <w:p w14:paraId="0E6832C8" w14:textId="47BF91A2" w:rsidR="00C13C74" w:rsidRDefault="002208C8" w:rsidP="00C13C74">
      <w:pPr>
        <w:pStyle w:val="ListParagraph"/>
        <w:numPr>
          <w:ilvl w:val="0"/>
          <w:numId w:val="7"/>
        </w:numPr>
      </w:pPr>
      <w:r>
        <w:t>SBI showed whopping growth in Balanced schemes. SBI and Axis gained significant share in Equity funds.</w:t>
      </w:r>
      <w:r w:rsidR="00517D10">
        <w:t xml:space="preserve"> SBI growth is 3 times the Balanced funds growth.</w:t>
      </w:r>
    </w:p>
    <w:p w14:paraId="23185924" w14:textId="3A8448CB" w:rsidR="004632EC" w:rsidRDefault="004632EC" w:rsidP="00C13C74">
      <w:pPr>
        <w:pStyle w:val="ListParagraph"/>
        <w:numPr>
          <w:ilvl w:val="0"/>
          <w:numId w:val="7"/>
        </w:numPr>
      </w:pPr>
      <w:r>
        <w:lastRenderedPageBreak/>
        <w:t>SBI</w:t>
      </w:r>
      <w:r w:rsidR="00517D10">
        <w:t xml:space="preserve"> MS</w:t>
      </w:r>
      <w:r>
        <w:t xml:space="preserve"> growth in Liquid </w:t>
      </w:r>
      <w:r w:rsidR="00F9733D">
        <w:t>market (</w:t>
      </w:r>
      <w:r>
        <w:t>4%) shows that it has eaten share of all other players.</w:t>
      </w:r>
      <w:r w:rsidR="00517D10">
        <w:t xml:space="preserve"> While liquid market showed negative growth, SBI and UTI showed around 8% growth rate over two years.</w:t>
      </w:r>
    </w:p>
    <w:p w14:paraId="2FA965A2" w14:textId="03E30534" w:rsidR="00A53AFE" w:rsidRDefault="00A53AFE" w:rsidP="00A53AFE">
      <w:pPr>
        <w:pStyle w:val="ListParagraph"/>
        <w:numPr>
          <w:ilvl w:val="0"/>
          <w:numId w:val="7"/>
        </w:numPr>
      </w:pPr>
      <w:r>
        <w:t>Every player showed growth in MS of debt schemes except Birla and Nippon. This turns out to be a big negative factor for Birla.</w:t>
      </w:r>
    </w:p>
    <w:p w14:paraId="374B573C" w14:textId="70E0E1A7" w:rsidR="004C0D51" w:rsidRDefault="004C0D51" w:rsidP="00A53AFE">
      <w:pPr>
        <w:pStyle w:val="ListParagraph"/>
        <w:numPr>
          <w:ilvl w:val="0"/>
          <w:numId w:val="7"/>
        </w:numPr>
      </w:pPr>
      <w:r>
        <w:t>While HNI debt market itself showed meagre growth rate of 12%,</w:t>
      </w:r>
      <w:r w:rsidR="00DA6838">
        <w:t xml:space="preserve"> </w:t>
      </w:r>
      <w:r>
        <w:t>Axis and SBI showed 5 times growth compared to HNI Debt market.</w:t>
      </w:r>
    </w:p>
    <w:p w14:paraId="643CF5F1" w14:textId="0E040E49" w:rsidR="00D901CC" w:rsidRDefault="00752201" w:rsidP="005935CD">
      <w:pPr>
        <w:pStyle w:val="ListParagraph"/>
        <w:numPr>
          <w:ilvl w:val="0"/>
          <w:numId w:val="7"/>
        </w:numPr>
      </w:pPr>
      <w:r>
        <w:t xml:space="preserve">Birla showed increase in its equity </w:t>
      </w:r>
      <w:r w:rsidR="00F9733D">
        <w:t>funds (</w:t>
      </w:r>
      <w:r>
        <w:t xml:space="preserve">11%) composition but </w:t>
      </w:r>
      <w:r w:rsidR="00F9733D">
        <w:t>it’s</w:t>
      </w:r>
      <w:r>
        <w:t xml:space="preserve"> not in line with growth of equity </w:t>
      </w:r>
      <w:r w:rsidR="00AA19F0">
        <w:t>funds (</w:t>
      </w:r>
      <w:r>
        <w:t>13%) in market composition.</w:t>
      </w:r>
    </w:p>
    <w:p w14:paraId="088F7952" w14:textId="1340C046" w:rsidR="00D901CC" w:rsidRDefault="00D901CC" w:rsidP="00C13C74">
      <w:pPr>
        <w:pStyle w:val="ListParagraph"/>
        <w:numPr>
          <w:ilvl w:val="0"/>
          <w:numId w:val="7"/>
        </w:numPr>
      </w:pPr>
      <w:r>
        <w:t>During volatile period of war (Feb 22 to Mar 22), Total funds inflow and debt funds inflow has decreased but the investment into equity funds showed significant growth. Spike in volatility has increased the inflow into equity schemes by HNIs.</w:t>
      </w:r>
    </w:p>
    <w:p w14:paraId="361CE61E" w14:textId="3D407F2E" w:rsidR="000E398A" w:rsidRDefault="000E398A" w:rsidP="00C13C74">
      <w:pPr>
        <w:pStyle w:val="ListParagraph"/>
        <w:numPr>
          <w:ilvl w:val="0"/>
          <w:numId w:val="7"/>
        </w:numPr>
      </w:pPr>
      <w:r>
        <w:t>Gold ETFs showing low growth due to physical alternatives. Some months showed slump in investments due to festive activities.</w:t>
      </w:r>
    </w:p>
    <w:p w14:paraId="6E5BEDB0" w14:textId="77777777" w:rsidR="000E398A" w:rsidRDefault="000E398A" w:rsidP="000E398A">
      <w:pPr>
        <w:pStyle w:val="ListParagraph"/>
      </w:pPr>
    </w:p>
    <w:p w14:paraId="66AB5B5E" w14:textId="11D115F4" w:rsidR="005935CD" w:rsidRDefault="005935CD" w:rsidP="005935CD"/>
    <w:p w14:paraId="1D43FD2C" w14:textId="6DF0553C" w:rsidR="005935CD" w:rsidRPr="00C13C74" w:rsidRDefault="005935CD" w:rsidP="005935CD">
      <w:r>
        <w:t xml:space="preserve">Growth in retail money and investors strongly correlates to growth in equity markets. Retail money is driving the </w:t>
      </w:r>
      <w:r w:rsidR="00135FED">
        <w:t xml:space="preserve">increase in </w:t>
      </w:r>
      <w:r>
        <w:t>equity mutual funds according to the trends.</w:t>
      </w:r>
    </w:p>
    <w:p w14:paraId="13895071" w14:textId="5BC8461E" w:rsidR="00C13C74" w:rsidRPr="00C13C74" w:rsidRDefault="00C13C74" w:rsidP="00C13C74">
      <w:pPr>
        <w:rPr>
          <w:b/>
          <w:bCs/>
          <w:sz w:val="32"/>
          <w:szCs w:val="32"/>
        </w:rPr>
      </w:pPr>
    </w:p>
    <w:p w14:paraId="0001B99E" w14:textId="77777777" w:rsidR="00C13C74" w:rsidRPr="000B47B6" w:rsidRDefault="00C13C74" w:rsidP="00C13C74">
      <w:pPr>
        <w:ind w:left="360"/>
      </w:pPr>
    </w:p>
    <w:p w14:paraId="5BC6D585" w14:textId="77777777" w:rsidR="00654CCB" w:rsidRDefault="00654CCB" w:rsidP="00654CCB">
      <w:pPr>
        <w:rPr>
          <w:b/>
          <w:bCs/>
          <w:sz w:val="32"/>
          <w:szCs w:val="32"/>
        </w:rPr>
      </w:pPr>
      <w:r w:rsidRPr="007E6C46">
        <w:rPr>
          <w:b/>
          <w:bCs/>
          <w:sz w:val="32"/>
          <w:szCs w:val="32"/>
        </w:rPr>
        <w:t>HNI Geography:</w:t>
      </w:r>
    </w:p>
    <w:p w14:paraId="75FA3AB0" w14:textId="77777777" w:rsidR="00654CCB" w:rsidRPr="007E6C46" w:rsidRDefault="00654CCB" w:rsidP="00654CCB">
      <w:pPr>
        <w:rPr>
          <w:b/>
          <w:bCs/>
          <w:sz w:val="32"/>
          <w:szCs w:val="32"/>
        </w:rPr>
      </w:pPr>
    </w:p>
    <w:p w14:paraId="1BAA56F2" w14:textId="77777777" w:rsidR="00654CCB" w:rsidRPr="001E4304" w:rsidRDefault="00654CCB" w:rsidP="00654CCB">
      <w:pPr>
        <w:numPr>
          <w:ilvl w:val="0"/>
          <w:numId w:val="2"/>
        </w:numPr>
      </w:pPr>
      <w:r w:rsidRPr="001E4304">
        <w:t>Total Aum share in T30 cities has decreased. But axis, sbi and kotak have increased their share in this segment.</w:t>
      </w:r>
    </w:p>
    <w:p w14:paraId="70D62FB1" w14:textId="77777777" w:rsidR="00654CCB" w:rsidRPr="001E4304" w:rsidRDefault="00654CCB" w:rsidP="00654CCB">
      <w:pPr>
        <w:numPr>
          <w:ilvl w:val="0"/>
          <w:numId w:val="2"/>
        </w:numPr>
      </w:pPr>
      <w:r w:rsidRPr="001E4304">
        <w:t>Total Aum share in B30 has remained almost the same. sbi has gained the most in this area with other players remaining unaffected.</w:t>
      </w:r>
    </w:p>
    <w:p w14:paraId="63F098D4" w14:textId="77777777" w:rsidR="00654CCB" w:rsidRPr="001E4304" w:rsidRDefault="00654CCB" w:rsidP="00654CCB">
      <w:pPr>
        <w:numPr>
          <w:ilvl w:val="0"/>
          <w:numId w:val="2"/>
        </w:numPr>
      </w:pPr>
      <w:r w:rsidRPr="001E4304">
        <w:t>While the share of cities other than T30 and B30 has increased significantly by 1.36%.</w:t>
      </w:r>
    </w:p>
    <w:p w14:paraId="2023DCDA" w14:textId="77777777" w:rsidR="00654CCB" w:rsidRDefault="00654CCB" w:rsidP="00654CCB">
      <w:pPr>
        <w:numPr>
          <w:ilvl w:val="0"/>
          <w:numId w:val="2"/>
        </w:numPr>
      </w:pPr>
      <w:r w:rsidRPr="001E4304">
        <w:t xml:space="preserve">HNIs in cities other than T30 have showed a surge in investments. </w:t>
      </w:r>
    </w:p>
    <w:p w14:paraId="518CD8EC" w14:textId="77777777" w:rsidR="001E4304" w:rsidRPr="002F06AE" w:rsidRDefault="001E4304" w:rsidP="002F06AE"/>
    <w:sectPr w:rsidR="001E4304" w:rsidRPr="002F06AE" w:rsidSect="00AD09A3">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1C1"/>
    <w:multiLevelType w:val="hybridMultilevel"/>
    <w:tmpl w:val="4CCA6A0C"/>
    <w:lvl w:ilvl="0" w:tplc="CF600DE2">
      <w:start w:val="1"/>
      <w:numFmt w:val="bullet"/>
      <w:lvlText w:val="•"/>
      <w:lvlJc w:val="left"/>
      <w:pPr>
        <w:tabs>
          <w:tab w:val="num" w:pos="720"/>
        </w:tabs>
        <w:ind w:left="720" w:hanging="360"/>
      </w:pPr>
      <w:rPr>
        <w:rFonts w:ascii="Arial" w:hAnsi="Arial" w:hint="default"/>
      </w:rPr>
    </w:lvl>
    <w:lvl w:ilvl="1" w:tplc="EEA841C0" w:tentative="1">
      <w:start w:val="1"/>
      <w:numFmt w:val="bullet"/>
      <w:lvlText w:val="•"/>
      <w:lvlJc w:val="left"/>
      <w:pPr>
        <w:tabs>
          <w:tab w:val="num" w:pos="1440"/>
        </w:tabs>
        <w:ind w:left="1440" w:hanging="360"/>
      </w:pPr>
      <w:rPr>
        <w:rFonts w:ascii="Arial" w:hAnsi="Arial" w:hint="default"/>
      </w:rPr>
    </w:lvl>
    <w:lvl w:ilvl="2" w:tplc="F2CADB5C" w:tentative="1">
      <w:start w:val="1"/>
      <w:numFmt w:val="bullet"/>
      <w:lvlText w:val="•"/>
      <w:lvlJc w:val="left"/>
      <w:pPr>
        <w:tabs>
          <w:tab w:val="num" w:pos="2160"/>
        </w:tabs>
        <w:ind w:left="2160" w:hanging="360"/>
      </w:pPr>
      <w:rPr>
        <w:rFonts w:ascii="Arial" w:hAnsi="Arial" w:hint="default"/>
      </w:rPr>
    </w:lvl>
    <w:lvl w:ilvl="3" w:tplc="05AACCD4" w:tentative="1">
      <w:start w:val="1"/>
      <w:numFmt w:val="bullet"/>
      <w:lvlText w:val="•"/>
      <w:lvlJc w:val="left"/>
      <w:pPr>
        <w:tabs>
          <w:tab w:val="num" w:pos="2880"/>
        </w:tabs>
        <w:ind w:left="2880" w:hanging="360"/>
      </w:pPr>
      <w:rPr>
        <w:rFonts w:ascii="Arial" w:hAnsi="Arial" w:hint="default"/>
      </w:rPr>
    </w:lvl>
    <w:lvl w:ilvl="4" w:tplc="8850E6F4" w:tentative="1">
      <w:start w:val="1"/>
      <w:numFmt w:val="bullet"/>
      <w:lvlText w:val="•"/>
      <w:lvlJc w:val="left"/>
      <w:pPr>
        <w:tabs>
          <w:tab w:val="num" w:pos="3600"/>
        </w:tabs>
        <w:ind w:left="3600" w:hanging="360"/>
      </w:pPr>
      <w:rPr>
        <w:rFonts w:ascii="Arial" w:hAnsi="Arial" w:hint="default"/>
      </w:rPr>
    </w:lvl>
    <w:lvl w:ilvl="5" w:tplc="AF004212" w:tentative="1">
      <w:start w:val="1"/>
      <w:numFmt w:val="bullet"/>
      <w:lvlText w:val="•"/>
      <w:lvlJc w:val="left"/>
      <w:pPr>
        <w:tabs>
          <w:tab w:val="num" w:pos="4320"/>
        </w:tabs>
        <w:ind w:left="4320" w:hanging="360"/>
      </w:pPr>
      <w:rPr>
        <w:rFonts w:ascii="Arial" w:hAnsi="Arial" w:hint="default"/>
      </w:rPr>
    </w:lvl>
    <w:lvl w:ilvl="6" w:tplc="068A5E78" w:tentative="1">
      <w:start w:val="1"/>
      <w:numFmt w:val="bullet"/>
      <w:lvlText w:val="•"/>
      <w:lvlJc w:val="left"/>
      <w:pPr>
        <w:tabs>
          <w:tab w:val="num" w:pos="5040"/>
        </w:tabs>
        <w:ind w:left="5040" w:hanging="360"/>
      </w:pPr>
      <w:rPr>
        <w:rFonts w:ascii="Arial" w:hAnsi="Arial" w:hint="default"/>
      </w:rPr>
    </w:lvl>
    <w:lvl w:ilvl="7" w:tplc="AA1EB042" w:tentative="1">
      <w:start w:val="1"/>
      <w:numFmt w:val="bullet"/>
      <w:lvlText w:val="•"/>
      <w:lvlJc w:val="left"/>
      <w:pPr>
        <w:tabs>
          <w:tab w:val="num" w:pos="5760"/>
        </w:tabs>
        <w:ind w:left="5760" w:hanging="360"/>
      </w:pPr>
      <w:rPr>
        <w:rFonts w:ascii="Arial" w:hAnsi="Arial" w:hint="default"/>
      </w:rPr>
    </w:lvl>
    <w:lvl w:ilvl="8" w:tplc="59CA00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5D261D"/>
    <w:multiLevelType w:val="hybridMultilevel"/>
    <w:tmpl w:val="0CDCD758"/>
    <w:lvl w:ilvl="0" w:tplc="6E5091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F24651"/>
    <w:multiLevelType w:val="hybridMultilevel"/>
    <w:tmpl w:val="A2984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856E1F"/>
    <w:multiLevelType w:val="hybridMultilevel"/>
    <w:tmpl w:val="F11A2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D384BF0"/>
    <w:multiLevelType w:val="hybridMultilevel"/>
    <w:tmpl w:val="E89AF7FE"/>
    <w:lvl w:ilvl="0" w:tplc="50D0CCCA">
      <w:start w:val="1"/>
      <w:numFmt w:val="bullet"/>
      <w:lvlText w:val="•"/>
      <w:lvlJc w:val="left"/>
      <w:pPr>
        <w:tabs>
          <w:tab w:val="num" w:pos="720"/>
        </w:tabs>
        <w:ind w:left="720" w:hanging="360"/>
      </w:pPr>
      <w:rPr>
        <w:rFonts w:ascii="Arial" w:hAnsi="Arial" w:hint="default"/>
      </w:rPr>
    </w:lvl>
    <w:lvl w:ilvl="1" w:tplc="1584B3A2" w:tentative="1">
      <w:start w:val="1"/>
      <w:numFmt w:val="bullet"/>
      <w:lvlText w:val="•"/>
      <w:lvlJc w:val="left"/>
      <w:pPr>
        <w:tabs>
          <w:tab w:val="num" w:pos="1440"/>
        </w:tabs>
        <w:ind w:left="1440" w:hanging="360"/>
      </w:pPr>
      <w:rPr>
        <w:rFonts w:ascii="Arial" w:hAnsi="Arial" w:hint="default"/>
      </w:rPr>
    </w:lvl>
    <w:lvl w:ilvl="2" w:tplc="F8706142" w:tentative="1">
      <w:start w:val="1"/>
      <w:numFmt w:val="bullet"/>
      <w:lvlText w:val="•"/>
      <w:lvlJc w:val="left"/>
      <w:pPr>
        <w:tabs>
          <w:tab w:val="num" w:pos="2160"/>
        </w:tabs>
        <w:ind w:left="2160" w:hanging="360"/>
      </w:pPr>
      <w:rPr>
        <w:rFonts w:ascii="Arial" w:hAnsi="Arial" w:hint="default"/>
      </w:rPr>
    </w:lvl>
    <w:lvl w:ilvl="3" w:tplc="B4DAAA46" w:tentative="1">
      <w:start w:val="1"/>
      <w:numFmt w:val="bullet"/>
      <w:lvlText w:val="•"/>
      <w:lvlJc w:val="left"/>
      <w:pPr>
        <w:tabs>
          <w:tab w:val="num" w:pos="2880"/>
        </w:tabs>
        <w:ind w:left="2880" w:hanging="360"/>
      </w:pPr>
      <w:rPr>
        <w:rFonts w:ascii="Arial" w:hAnsi="Arial" w:hint="default"/>
      </w:rPr>
    </w:lvl>
    <w:lvl w:ilvl="4" w:tplc="ACBADEE6" w:tentative="1">
      <w:start w:val="1"/>
      <w:numFmt w:val="bullet"/>
      <w:lvlText w:val="•"/>
      <w:lvlJc w:val="left"/>
      <w:pPr>
        <w:tabs>
          <w:tab w:val="num" w:pos="3600"/>
        </w:tabs>
        <w:ind w:left="3600" w:hanging="360"/>
      </w:pPr>
      <w:rPr>
        <w:rFonts w:ascii="Arial" w:hAnsi="Arial" w:hint="default"/>
      </w:rPr>
    </w:lvl>
    <w:lvl w:ilvl="5" w:tplc="9DF6843A" w:tentative="1">
      <w:start w:val="1"/>
      <w:numFmt w:val="bullet"/>
      <w:lvlText w:val="•"/>
      <w:lvlJc w:val="left"/>
      <w:pPr>
        <w:tabs>
          <w:tab w:val="num" w:pos="4320"/>
        </w:tabs>
        <w:ind w:left="4320" w:hanging="360"/>
      </w:pPr>
      <w:rPr>
        <w:rFonts w:ascii="Arial" w:hAnsi="Arial" w:hint="default"/>
      </w:rPr>
    </w:lvl>
    <w:lvl w:ilvl="6" w:tplc="41C80DCA" w:tentative="1">
      <w:start w:val="1"/>
      <w:numFmt w:val="bullet"/>
      <w:lvlText w:val="•"/>
      <w:lvlJc w:val="left"/>
      <w:pPr>
        <w:tabs>
          <w:tab w:val="num" w:pos="5040"/>
        </w:tabs>
        <w:ind w:left="5040" w:hanging="360"/>
      </w:pPr>
      <w:rPr>
        <w:rFonts w:ascii="Arial" w:hAnsi="Arial" w:hint="default"/>
      </w:rPr>
    </w:lvl>
    <w:lvl w:ilvl="7" w:tplc="837EF984" w:tentative="1">
      <w:start w:val="1"/>
      <w:numFmt w:val="bullet"/>
      <w:lvlText w:val="•"/>
      <w:lvlJc w:val="left"/>
      <w:pPr>
        <w:tabs>
          <w:tab w:val="num" w:pos="5760"/>
        </w:tabs>
        <w:ind w:left="5760" w:hanging="360"/>
      </w:pPr>
      <w:rPr>
        <w:rFonts w:ascii="Arial" w:hAnsi="Arial" w:hint="default"/>
      </w:rPr>
    </w:lvl>
    <w:lvl w:ilvl="8" w:tplc="FE86F5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2717D7"/>
    <w:multiLevelType w:val="hybridMultilevel"/>
    <w:tmpl w:val="7B388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292F7B"/>
    <w:multiLevelType w:val="hybridMultilevel"/>
    <w:tmpl w:val="6C14D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402C0E"/>
    <w:multiLevelType w:val="hybridMultilevel"/>
    <w:tmpl w:val="7C8CA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2877120">
    <w:abstractNumId w:val="4"/>
  </w:num>
  <w:num w:numId="2" w16cid:durableId="1891577244">
    <w:abstractNumId w:val="0"/>
  </w:num>
  <w:num w:numId="3" w16cid:durableId="947733102">
    <w:abstractNumId w:val="3"/>
  </w:num>
  <w:num w:numId="4" w16cid:durableId="117993233">
    <w:abstractNumId w:val="5"/>
  </w:num>
  <w:num w:numId="5" w16cid:durableId="1624657916">
    <w:abstractNumId w:val="2"/>
  </w:num>
  <w:num w:numId="6" w16cid:durableId="1616329874">
    <w:abstractNumId w:val="7"/>
  </w:num>
  <w:num w:numId="7" w16cid:durableId="377709946">
    <w:abstractNumId w:val="6"/>
  </w:num>
  <w:num w:numId="8" w16cid:durableId="42757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MzczMzM2sTA2NTJW0lEKTi0uzszPAymwrAUA+G2gGCwAAAA="/>
  </w:docVars>
  <w:rsids>
    <w:rsidRoot w:val="00AD09A3"/>
    <w:rsid w:val="0000128C"/>
    <w:rsid w:val="00011CF2"/>
    <w:rsid w:val="00012194"/>
    <w:rsid w:val="00022E31"/>
    <w:rsid w:val="000338F4"/>
    <w:rsid w:val="00054780"/>
    <w:rsid w:val="00071641"/>
    <w:rsid w:val="00083554"/>
    <w:rsid w:val="000A0325"/>
    <w:rsid w:val="000A5870"/>
    <w:rsid w:val="000B473B"/>
    <w:rsid w:val="000B47B6"/>
    <w:rsid w:val="000D4EDD"/>
    <w:rsid w:val="000D7B98"/>
    <w:rsid w:val="000E398A"/>
    <w:rsid w:val="000F0129"/>
    <w:rsid w:val="001120B7"/>
    <w:rsid w:val="00113202"/>
    <w:rsid w:val="00117EF9"/>
    <w:rsid w:val="00130FAC"/>
    <w:rsid w:val="00134565"/>
    <w:rsid w:val="00135FED"/>
    <w:rsid w:val="00157916"/>
    <w:rsid w:val="001B36DF"/>
    <w:rsid w:val="001C33E3"/>
    <w:rsid w:val="001C50BC"/>
    <w:rsid w:val="001E4304"/>
    <w:rsid w:val="001F4607"/>
    <w:rsid w:val="001F5B10"/>
    <w:rsid w:val="002208C8"/>
    <w:rsid w:val="002617C0"/>
    <w:rsid w:val="00275A7C"/>
    <w:rsid w:val="002E2982"/>
    <w:rsid w:val="002F06AE"/>
    <w:rsid w:val="00357233"/>
    <w:rsid w:val="003729D9"/>
    <w:rsid w:val="003B0CAF"/>
    <w:rsid w:val="003B67AE"/>
    <w:rsid w:val="003D0811"/>
    <w:rsid w:val="00407EF2"/>
    <w:rsid w:val="00455D0F"/>
    <w:rsid w:val="004632EC"/>
    <w:rsid w:val="00474BD5"/>
    <w:rsid w:val="00474CA8"/>
    <w:rsid w:val="00484601"/>
    <w:rsid w:val="004C0D51"/>
    <w:rsid w:val="00517D10"/>
    <w:rsid w:val="00540812"/>
    <w:rsid w:val="00563189"/>
    <w:rsid w:val="005905D9"/>
    <w:rsid w:val="005935CD"/>
    <w:rsid w:val="005A43E5"/>
    <w:rsid w:val="005C49A0"/>
    <w:rsid w:val="00652682"/>
    <w:rsid w:val="00654CCB"/>
    <w:rsid w:val="00663851"/>
    <w:rsid w:val="00690D7C"/>
    <w:rsid w:val="006A1CC5"/>
    <w:rsid w:val="006B02A6"/>
    <w:rsid w:val="006B24B4"/>
    <w:rsid w:val="006B732E"/>
    <w:rsid w:val="006D51DE"/>
    <w:rsid w:val="00714202"/>
    <w:rsid w:val="00726F25"/>
    <w:rsid w:val="0073070D"/>
    <w:rsid w:val="00737441"/>
    <w:rsid w:val="00752201"/>
    <w:rsid w:val="007E6C46"/>
    <w:rsid w:val="008035B4"/>
    <w:rsid w:val="0082057F"/>
    <w:rsid w:val="008568DA"/>
    <w:rsid w:val="00872610"/>
    <w:rsid w:val="008A7B7C"/>
    <w:rsid w:val="008B326C"/>
    <w:rsid w:val="00925342"/>
    <w:rsid w:val="009431E3"/>
    <w:rsid w:val="009C0F99"/>
    <w:rsid w:val="00A0589B"/>
    <w:rsid w:val="00A13367"/>
    <w:rsid w:val="00A14B85"/>
    <w:rsid w:val="00A30EC3"/>
    <w:rsid w:val="00A53AFE"/>
    <w:rsid w:val="00A84F31"/>
    <w:rsid w:val="00AA059D"/>
    <w:rsid w:val="00AA19F0"/>
    <w:rsid w:val="00AD09A3"/>
    <w:rsid w:val="00AE7F91"/>
    <w:rsid w:val="00B220CA"/>
    <w:rsid w:val="00B24C7A"/>
    <w:rsid w:val="00B8504B"/>
    <w:rsid w:val="00B85567"/>
    <w:rsid w:val="00B873BC"/>
    <w:rsid w:val="00BA53CA"/>
    <w:rsid w:val="00C13C74"/>
    <w:rsid w:val="00C17F14"/>
    <w:rsid w:val="00C67325"/>
    <w:rsid w:val="00C97862"/>
    <w:rsid w:val="00CF0CCD"/>
    <w:rsid w:val="00D741E1"/>
    <w:rsid w:val="00D84CC3"/>
    <w:rsid w:val="00D901CC"/>
    <w:rsid w:val="00DA6838"/>
    <w:rsid w:val="00DB479F"/>
    <w:rsid w:val="00DC6886"/>
    <w:rsid w:val="00E55EE1"/>
    <w:rsid w:val="00E57115"/>
    <w:rsid w:val="00E64070"/>
    <w:rsid w:val="00E772BC"/>
    <w:rsid w:val="00E953C7"/>
    <w:rsid w:val="00EB3C16"/>
    <w:rsid w:val="00ED74E7"/>
    <w:rsid w:val="00F01037"/>
    <w:rsid w:val="00F35926"/>
    <w:rsid w:val="00F41B1B"/>
    <w:rsid w:val="00F561CC"/>
    <w:rsid w:val="00F72E1E"/>
    <w:rsid w:val="00F81BD1"/>
    <w:rsid w:val="00F94517"/>
    <w:rsid w:val="00F9733D"/>
    <w:rsid w:val="00FC6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8D9D"/>
  <w15:chartTrackingRefBased/>
  <w15:docId w15:val="{E898BBE7-3112-114E-ABC4-C136C4C8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C74"/>
  </w:style>
  <w:style w:type="paragraph" w:styleId="Heading1">
    <w:name w:val="heading 1"/>
    <w:basedOn w:val="Normal"/>
    <w:next w:val="Normal"/>
    <w:link w:val="Heading1Char"/>
    <w:uiPriority w:val="9"/>
    <w:qFormat/>
    <w:rsid w:val="005C49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6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5B4"/>
    <w:rPr>
      <w:color w:val="0563C1" w:themeColor="hyperlink"/>
      <w:u w:val="single"/>
    </w:rPr>
  </w:style>
  <w:style w:type="character" w:styleId="UnresolvedMention">
    <w:name w:val="Unresolved Mention"/>
    <w:basedOn w:val="DefaultParagraphFont"/>
    <w:uiPriority w:val="99"/>
    <w:semiHidden/>
    <w:unhideWhenUsed/>
    <w:rsid w:val="008035B4"/>
    <w:rPr>
      <w:color w:val="605E5C"/>
      <w:shd w:val="clear" w:color="auto" w:fill="E1DFDD"/>
    </w:rPr>
  </w:style>
  <w:style w:type="character" w:customStyle="1" w:styleId="Heading1Char">
    <w:name w:val="Heading 1 Char"/>
    <w:basedOn w:val="DefaultParagraphFont"/>
    <w:link w:val="Heading1"/>
    <w:uiPriority w:val="9"/>
    <w:rsid w:val="005C49A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63189"/>
    <w:pPr>
      <w:spacing w:before="100" w:beforeAutospacing="1" w:after="100" w:afterAutospacing="1"/>
    </w:pPr>
    <w:rPr>
      <w:rFonts w:ascii="Times New Roman" w:eastAsia="Times New Roman" w:hAnsi="Times New Roman" w:cs="Times New Roman"/>
      <w:lang w:eastAsia="en-IN"/>
    </w:rPr>
  </w:style>
  <w:style w:type="character" w:customStyle="1" w:styleId="Heading2Char">
    <w:name w:val="Heading 2 Char"/>
    <w:basedOn w:val="DefaultParagraphFont"/>
    <w:link w:val="Heading2"/>
    <w:uiPriority w:val="9"/>
    <w:rsid w:val="002F06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38654">
      <w:bodyDiv w:val="1"/>
      <w:marLeft w:val="0"/>
      <w:marRight w:val="0"/>
      <w:marTop w:val="0"/>
      <w:marBottom w:val="0"/>
      <w:divBdr>
        <w:top w:val="none" w:sz="0" w:space="0" w:color="auto"/>
        <w:left w:val="none" w:sz="0" w:space="0" w:color="auto"/>
        <w:bottom w:val="none" w:sz="0" w:space="0" w:color="auto"/>
        <w:right w:val="none" w:sz="0" w:space="0" w:color="auto"/>
      </w:divBdr>
      <w:divsChild>
        <w:div w:id="1680891918">
          <w:marLeft w:val="0"/>
          <w:marRight w:val="0"/>
          <w:marTop w:val="0"/>
          <w:marBottom w:val="0"/>
          <w:divBdr>
            <w:top w:val="none" w:sz="0" w:space="0" w:color="auto"/>
            <w:left w:val="none" w:sz="0" w:space="0" w:color="auto"/>
            <w:bottom w:val="none" w:sz="0" w:space="0" w:color="auto"/>
            <w:right w:val="none" w:sz="0" w:space="0" w:color="auto"/>
          </w:divBdr>
          <w:divsChild>
            <w:div w:id="1706756249">
              <w:marLeft w:val="0"/>
              <w:marRight w:val="0"/>
              <w:marTop w:val="0"/>
              <w:marBottom w:val="0"/>
              <w:divBdr>
                <w:top w:val="none" w:sz="0" w:space="0" w:color="auto"/>
                <w:left w:val="none" w:sz="0" w:space="0" w:color="auto"/>
                <w:bottom w:val="none" w:sz="0" w:space="0" w:color="auto"/>
                <w:right w:val="none" w:sz="0" w:space="0" w:color="auto"/>
              </w:divBdr>
              <w:divsChild>
                <w:div w:id="9150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93224">
      <w:bodyDiv w:val="1"/>
      <w:marLeft w:val="0"/>
      <w:marRight w:val="0"/>
      <w:marTop w:val="0"/>
      <w:marBottom w:val="0"/>
      <w:divBdr>
        <w:top w:val="none" w:sz="0" w:space="0" w:color="auto"/>
        <w:left w:val="none" w:sz="0" w:space="0" w:color="auto"/>
        <w:bottom w:val="none" w:sz="0" w:space="0" w:color="auto"/>
        <w:right w:val="none" w:sz="0" w:space="0" w:color="auto"/>
      </w:divBdr>
      <w:divsChild>
        <w:div w:id="925071914">
          <w:marLeft w:val="360"/>
          <w:marRight w:val="0"/>
          <w:marTop w:val="200"/>
          <w:marBottom w:val="0"/>
          <w:divBdr>
            <w:top w:val="none" w:sz="0" w:space="0" w:color="auto"/>
            <w:left w:val="none" w:sz="0" w:space="0" w:color="auto"/>
            <w:bottom w:val="none" w:sz="0" w:space="0" w:color="auto"/>
            <w:right w:val="none" w:sz="0" w:space="0" w:color="auto"/>
          </w:divBdr>
        </w:div>
        <w:div w:id="566191773">
          <w:marLeft w:val="360"/>
          <w:marRight w:val="0"/>
          <w:marTop w:val="200"/>
          <w:marBottom w:val="0"/>
          <w:divBdr>
            <w:top w:val="none" w:sz="0" w:space="0" w:color="auto"/>
            <w:left w:val="none" w:sz="0" w:space="0" w:color="auto"/>
            <w:bottom w:val="none" w:sz="0" w:space="0" w:color="auto"/>
            <w:right w:val="none" w:sz="0" w:space="0" w:color="auto"/>
          </w:divBdr>
        </w:div>
        <w:div w:id="784887029">
          <w:marLeft w:val="360"/>
          <w:marRight w:val="0"/>
          <w:marTop w:val="200"/>
          <w:marBottom w:val="0"/>
          <w:divBdr>
            <w:top w:val="none" w:sz="0" w:space="0" w:color="auto"/>
            <w:left w:val="none" w:sz="0" w:space="0" w:color="auto"/>
            <w:bottom w:val="none" w:sz="0" w:space="0" w:color="auto"/>
            <w:right w:val="none" w:sz="0" w:space="0" w:color="auto"/>
          </w:divBdr>
        </w:div>
        <w:div w:id="2073575876">
          <w:marLeft w:val="360"/>
          <w:marRight w:val="0"/>
          <w:marTop w:val="200"/>
          <w:marBottom w:val="0"/>
          <w:divBdr>
            <w:top w:val="none" w:sz="0" w:space="0" w:color="auto"/>
            <w:left w:val="none" w:sz="0" w:space="0" w:color="auto"/>
            <w:bottom w:val="none" w:sz="0" w:space="0" w:color="auto"/>
            <w:right w:val="none" w:sz="0" w:space="0" w:color="auto"/>
          </w:divBdr>
        </w:div>
        <w:div w:id="249972135">
          <w:marLeft w:val="360"/>
          <w:marRight w:val="0"/>
          <w:marTop w:val="200"/>
          <w:marBottom w:val="0"/>
          <w:divBdr>
            <w:top w:val="none" w:sz="0" w:space="0" w:color="auto"/>
            <w:left w:val="none" w:sz="0" w:space="0" w:color="auto"/>
            <w:bottom w:val="none" w:sz="0" w:space="0" w:color="auto"/>
            <w:right w:val="none" w:sz="0" w:space="0" w:color="auto"/>
          </w:divBdr>
        </w:div>
      </w:divsChild>
    </w:div>
    <w:div w:id="1458716908">
      <w:bodyDiv w:val="1"/>
      <w:marLeft w:val="0"/>
      <w:marRight w:val="0"/>
      <w:marTop w:val="0"/>
      <w:marBottom w:val="0"/>
      <w:divBdr>
        <w:top w:val="none" w:sz="0" w:space="0" w:color="auto"/>
        <w:left w:val="none" w:sz="0" w:space="0" w:color="auto"/>
        <w:bottom w:val="none" w:sz="0" w:space="0" w:color="auto"/>
        <w:right w:val="none" w:sz="0" w:space="0" w:color="auto"/>
      </w:divBdr>
    </w:div>
    <w:div w:id="1815677204">
      <w:bodyDiv w:val="1"/>
      <w:marLeft w:val="0"/>
      <w:marRight w:val="0"/>
      <w:marTop w:val="0"/>
      <w:marBottom w:val="0"/>
      <w:divBdr>
        <w:top w:val="none" w:sz="0" w:space="0" w:color="auto"/>
        <w:left w:val="none" w:sz="0" w:space="0" w:color="auto"/>
        <w:bottom w:val="none" w:sz="0" w:space="0" w:color="auto"/>
        <w:right w:val="none" w:sz="0" w:space="0" w:color="auto"/>
      </w:divBdr>
    </w:div>
    <w:div w:id="1955360955">
      <w:bodyDiv w:val="1"/>
      <w:marLeft w:val="0"/>
      <w:marRight w:val="0"/>
      <w:marTop w:val="0"/>
      <w:marBottom w:val="0"/>
      <w:divBdr>
        <w:top w:val="none" w:sz="0" w:space="0" w:color="auto"/>
        <w:left w:val="none" w:sz="0" w:space="0" w:color="auto"/>
        <w:bottom w:val="none" w:sz="0" w:space="0" w:color="auto"/>
        <w:right w:val="none" w:sz="0" w:space="0" w:color="auto"/>
      </w:divBdr>
      <w:divsChild>
        <w:div w:id="34081562">
          <w:marLeft w:val="0"/>
          <w:marRight w:val="0"/>
          <w:marTop w:val="0"/>
          <w:marBottom w:val="0"/>
          <w:divBdr>
            <w:top w:val="none" w:sz="0" w:space="0" w:color="auto"/>
            <w:left w:val="none" w:sz="0" w:space="0" w:color="auto"/>
            <w:bottom w:val="none" w:sz="0" w:space="0" w:color="auto"/>
            <w:right w:val="none" w:sz="0" w:space="0" w:color="auto"/>
          </w:divBdr>
          <w:divsChild>
            <w:div w:id="1423451429">
              <w:marLeft w:val="0"/>
              <w:marRight w:val="0"/>
              <w:marTop w:val="0"/>
              <w:marBottom w:val="0"/>
              <w:divBdr>
                <w:top w:val="none" w:sz="0" w:space="0" w:color="auto"/>
                <w:left w:val="none" w:sz="0" w:space="0" w:color="auto"/>
                <w:bottom w:val="none" w:sz="0" w:space="0" w:color="auto"/>
                <w:right w:val="none" w:sz="0" w:space="0" w:color="auto"/>
              </w:divBdr>
              <w:divsChild>
                <w:div w:id="901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23810">
      <w:bodyDiv w:val="1"/>
      <w:marLeft w:val="0"/>
      <w:marRight w:val="0"/>
      <w:marTop w:val="0"/>
      <w:marBottom w:val="0"/>
      <w:divBdr>
        <w:top w:val="none" w:sz="0" w:space="0" w:color="auto"/>
        <w:left w:val="none" w:sz="0" w:space="0" w:color="auto"/>
        <w:bottom w:val="none" w:sz="0" w:space="0" w:color="auto"/>
        <w:right w:val="none" w:sz="0" w:space="0" w:color="auto"/>
      </w:divBdr>
    </w:div>
    <w:div w:id="2124877273">
      <w:bodyDiv w:val="1"/>
      <w:marLeft w:val="0"/>
      <w:marRight w:val="0"/>
      <w:marTop w:val="0"/>
      <w:marBottom w:val="0"/>
      <w:divBdr>
        <w:top w:val="none" w:sz="0" w:space="0" w:color="auto"/>
        <w:left w:val="none" w:sz="0" w:space="0" w:color="auto"/>
        <w:bottom w:val="none" w:sz="0" w:space="0" w:color="auto"/>
        <w:right w:val="none" w:sz="0" w:space="0" w:color="auto"/>
      </w:divBdr>
      <w:divsChild>
        <w:div w:id="471680030">
          <w:marLeft w:val="547"/>
          <w:marRight w:val="0"/>
          <w:marTop w:val="200"/>
          <w:marBottom w:val="0"/>
          <w:divBdr>
            <w:top w:val="none" w:sz="0" w:space="0" w:color="auto"/>
            <w:left w:val="none" w:sz="0" w:space="0" w:color="auto"/>
            <w:bottom w:val="none" w:sz="0" w:space="0" w:color="auto"/>
            <w:right w:val="none" w:sz="0" w:space="0" w:color="auto"/>
          </w:divBdr>
        </w:div>
        <w:div w:id="838808629">
          <w:marLeft w:val="547"/>
          <w:marRight w:val="0"/>
          <w:marTop w:val="200"/>
          <w:marBottom w:val="0"/>
          <w:divBdr>
            <w:top w:val="none" w:sz="0" w:space="0" w:color="auto"/>
            <w:left w:val="none" w:sz="0" w:space="0" w:color="auto"/>
            <w:bottom w:val="none" w:sz="0" w:space="0" w:color="auto"/>
            <w:right w:val="none" w:sz="0" w:space="0" w:color="auto"/>
          </w:divBdr>
        </w:div>
        <w:div w:id="1985818562">
          <w:marLeft w:val="547"/>
          <w:marRight w:val="0"/>
          <w:marTop w:val="200"/>
          <w:marBottom w:val="0"/>
          <w:divBdr>
            <w:top w:val="none" w:sz="0" w:space="0" w:color="auto"/>
            <w:left w:val="none" w:sz="0" w:space="0" w:color="auto"/>
            <w:bottom w:val="none" w:sz="0" w:space="0" w:color="auto"/>
            <w:right w:val="none" w:sz="0" w:space="0" w:color="auto"/>
          </w:divBdr>
        </w:div>
        <w:div w:id="2078748726">
          <w:marLeft w:val="547"/>
          <w:marRight w:val="0"/>
          <w:marTop w:val="200"/>
          <w:marBottom w:val="0"/>
          <w:divBdr>
            <w:top w:val="none" w:sz="0" w:space="0" w:color="auto"/>
            <w:left w:val="none" w:sz="0" w:space="0" w:color="auto"/>
            <w:bottom w:val="none" w:sz="0" w:space="0" w:color="auto"/>
            <w:right w:val="none" w:sz="0" w:space="0" w:color="auto"/>
          </w:divBdr>
        </w:div>
        <w:div w:id="16674381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Jupalli 
Nitesh</dc:creator>
  <cp:keywords/>
  <dc:description/>
  <cp:lastModifiedBy>Jupalli 
Nitesh</cp:lastModifiedBy>
  <cp:revision>130</cp:revision>
  <dcterms:created xsi:type="dcterms:W3CDTF">2022-04-24T18:49:00Z</dcterms:created>
  <dcterms:modified xsi:type="dcterms:W3CDTF">2022-04-25T11:06:00Z</dcterms:modified>
</cp:coreProperties>
</file>