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2BC50">
      <w:r>
        <w:t>1. 因子名称</w:t>
      </w:r>
    </w:p>
    <w:p w14:paraId="4D73AC8E">
      <w:r>
        <w:t>usgc_singapore_margin_spread_factor_v1</w:t>
      </w:r>
      <w:r>
        <w:br w:type="textWrapping"/>
      </w:r>
      <w:r>
        <w:t>（USGC-Singapore 原油精炼毛利价差因子）</w:t>
      </w:r>
    </w:p>
    <w:p w14:paraId="79D6E03B">
      <w:r>
        <w:t>2. 原数据集</w:t>
      </w:r>
    </w:p>
    <w:p w14:paraId="05305980">
      <w:r>
        <w:t>文件名称：Oil Regional Refining Margins.xlsx</w:t>
      </w:r>
    </w:p>
    <w:p w14:paraId="666FB34D">
      <w:r>
        <w:t>数据来源：包含全球主要炼油中心的原油精炼毛利数据（US Gulf Coast、North West Europe、Singapore）</w:t>
      </w:r>
    </w:p>
    <w:p w14:paraId="1AF55DE0">
      <w:r>
        <w:t>主要字段：</w:t>
      </w:r>
    </w:p>
    <w:p w14:paraId="73D2ED87">
      <w:r>
        <w:t>Year：年份</w:t>
      </w:r>
    </w:p>
    <w:p w14:paraId="1362ADAB">
      <w:r>
        <w:t>Quarter：季度（1-4）</w:t>
      </w:r>
    </w:p>
    <w:p w14:paraId="3C4892F4">
      <w:r>
        <w:t>Indicator：精炼毛利类型及地区</w:t>
      </w:r>
    </w:p>
    <w:p w14:paraId="622ED08B">
      <w:r>
        <w:t>Value：精炼毛利值（单位：美元/桶）</w:t>
      </w:r>
    </w:p>
    <w:p w14:paraId="33CF2E40"/>
    <w:p w14:paraId="03D93394">
      <w:r>
        <w:t>3. 因子逻辑</w:t>
      </w:r>
    </w:p>
    <w:p w14:paraId="408B7A60">
      <w:r>
        <w:t>因子定义：计算 US Gulf Coast (USGC) 与 Singapore 原油精炼毛利的价差（spread），即：</w:t>
      </w:r>
    </w:p>
    <w:p w14:paraId="3A423691">
      <m:oMathPara>
        <m:oMath>
          <m:r>
            <m:rPr/>
            <w:rPr>
              <w:rFonts w:hint="default" w:ascii="Cambria Math"/>
            </w:rPr>
            <m:t>spreadt=USGC</m:t>
          </m:r>
          <m:r>
            <m:rPr>
              <m:sty m:val="p"/>
            </m:rPr>
            <w:rPr>
              <w:rFonts w:hint="default" w:ascii="Cambria Math"/>
            </w:rPr>
            <m:t xml:space="preserve"> </m:t>
          </m:r>
          <m:r>
            <m:rPr/>
            <w:rPr>
              <w:rFonts w:hint="default" w:ascii="Cambria Math"/>
            </w:rPr>
            <m:t>Valuet−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Singapore</m:t>
              </m:r>
              <m:r>
                <m:rPr>
                  <m:sty m:val="p"/>
                </m:rPr>
                <w:rPr>
                  <w:rFonts w:hint="default" w:ascii="Cambria Math"/>
                </w:rPr>
                <m:t xml:space="preserve"> </m:t>
              </m:r>
              <m:r>
                <m:rPr/>
                <w:rPr>
                  <w:rFonts w:hint="default" w:ascii="Cambria Math"/>
                </w:rPr>
                <m:t>Value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/>
                </w:rPr>
              </m:ctrlPr>
            </m:sub>
          </m:sSub>
        </m:oMath>
      </m:oMathPara>
    </w:p>
    <w:p w14:paraId="1838591E">
      <w:r>
        <w:t>滞后与滚动处理：</w:t>
      </w:r>
    </w:p>
    <w:p w14:paraId="71812DF3">
      <w:r>
        <w:t>可以配置滞后期（lag），表示因子使用的历史价格差</w:t>
      </w:r>
    </w:p>
    <w:p w14:paraId="7690A9BD">
      <w:r>
        <w:t>可以配置滚动窗口（rolling_window），计算平均价差平滑短期波动</w:t>
      </w:r>
    </w:p>
    <w:p w14:paraId="38A389E9">
      <w:r>
        <w:t>输出频率：季度末日期</w:t>
      </w:r>
    </w:p>
    <w:p w14:paraId="7C1B4291">
      <w:r>
        <w:t>每个因子值对应上一个季度的数据（避免未来数据泄露）</w:t>
      </w:r>
    </w:p>
    <w:p w14:paraId="747F2BC2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函数通过 config 字典接收参数，未传入时使用默认配置，参数说明如下：</w:t>
      </w:r>
    </w:p>
    <w:p w14:paraId="7EFBFB62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0"/>
        <w:gridCol w:w="678"/>
        <w:gridCol w:w="525"/>
        <w:gridCol w:w="630"/>
        <w:gridCol w:w="5179"/>
      </w:tblGrid>
      <w:tr w14:paraId="710DB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0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90A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1"/>
                <w:szCs w:val="24"/>
                <w:lang w:val="en-US" w:eastAsia="zh-CN" w:bidi="ar-SA"/>
              </w:rPr>
              <w:t>参数名</w:t>
            </w:r>
          </w:p>
        </w:tc>
        <w:tc>
          <w:tcPr>
            <w:tcW w:w="67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7879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1"/>
                <w:szCs w:val="24"/>
                <w:lang w:val="en-US" w:eastAsia="zh-CN" w:bidi="ar-SA"/>
              </w:rPr>
              <w:t>类型</w:t>
            </w:r>
          </w:p>
        </w:tc>
        <w:tc>
          <w:tcPr>
            <w:tcW w:w="52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EE47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1"/>
                <w:szCs w:val="24"/>
                <w:lang w:val="en-US" w:eastAsia="zh-CN" w:bidi="ar-SA"/>
              </w:rPr>
              <w:t>默认值</w:t>
            </w:r>
          </w:p>
        </w:tc>
        <w:tc>
          <w:tcPr>
            <w:tcW w:w="6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3600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1"/>
                <w:szCs w:val="24"/>
                <w:lang w:val="en-US" w:eastAsia="zh-CN" w:bidi="ar-SA"/>
              </w:rPr>
              <w:t>取值范围</w:t>
            </w:r>
          </w:p>
        </w:tc>
        <w:tc>
          <w:tcPr>
            <w:tcW w:w="517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BA8D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1"/>
                <w:szCs w:val="24"/>
                <w:lang w:val="en-US" w:eastAsia="zh-CN" w:bidi="ar-SA"/>
              </w:rPr>
              <w:t>功能说明</w:t>
            </w:r>
          </w:p>
        </w:tc>
      </w:tr>
      <w:tr w14:paraId="2F71D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0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0F3D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lag</w:t>
            </w:r>
          </w:p>
        </w:tc>
        <w:tc>
          <w:tcPr>
            <w:tcW w:w="67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5A3B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整数</w:t>
            </w:r>
          </w:p>
        </w:tc>
        <w:tc>
          <w:tcPr>
            <w:tcW w:w="52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7B48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0</w:t>
            </w:r>
          </w:p>
        </w:tc>
        <w:tc>
          <w:tcPr>
            <w:tcW w:w="6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4102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≥0</w:t>
            </w:r>
          </w:p>
        </w:tc>
        <w:tc>
          <w:tcPr>
            <w:tcW w:w="517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9471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价差因子的滞后阶数： lag=0：无滞后，使用当期价差； lag=1：使用上一期价差； lag=N：使用前N期价差（N为正整数）。</w:t>
            </w:r>
          </w:p>
        </w:tc>
      </w:tr>
      <w:tr w14:paraId="5DFCE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0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4E66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rolling_window</w:t>
            </w:r>
          </w:p>
        </w:tc>
        <w:tc>
          <w:tcPr>
            <w:tcW w:w="67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C8A3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整数</w:t>
            </w:r>
          </w:p>
        </w:tc>
        <w:tc>
          <w:tcPr>
            <w:tcW w:w="52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74F3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1</w:t>
            </w:r>
          </w:p>
        </w:tc>
        <w:tc>
          <w:tcPr>
            <w:tcW w:w="6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A2F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≥1</w:t>
            </w:r>
          </w:p>
        </w:tc>
        <w:tc>
          <w:tcPr>
            <w:tcW w:w="517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6F1B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价差因子的滚动平均窗口大小： rolling_window=1：无滚动平均，直接使用滞后后的价差；rolling_window=N：对滞后后的价差做N期滚动平均（N为≥2的正整数）。</w:t>
            </w:r>
          </w:p>
        </w:tc>
      </w:tr>
    </w:tbl>
    <w:p w14:paraId="4ED41484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5FFE3EC8">
      <w:pPr>
        <w:pStyle w:val="4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# 示例1：默认配置（无滞后、无滚动）</w:t>
      </w:r>
    </w:p>
    <w:p w14:paraId="7FEB7D17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factor_series = build_factor(raw_data)  # 等价于 config={'lag':0, 'rolling_window':1}</w:t>
      </w:r>
    </w:p>
    <w:p w14:paraId="64593747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21561759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# 示例2：滞后1期 + 无滚动（常用配置）</w:t>
      </w:r>
    </w:p>
    <w:p w14:paraId="3D255582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factor_series = build_factor(raw_data, config={'lag': 1, 'rolling_window': 1})</w:t>
      </w:r>
    </w:p>
    <w:p w14:paraId="76195D76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0156DE7F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# 示例3：滞后2期 + 3期滚动平均</w:t>
      </w:r>
    </w:p>
    <w:p w14:paraId="0BA664EB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factor_series = build_factor(raw_data, config={'lag': 2, 'rolling_window': 3})</w:t>
      </w:r>
    </w:p>
    <w:p w14:paraId="10C23641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77013F14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# 示例4：无滞后 + 4期滚动平均</w:t>
      </w:r>
    </w:p>
    <w:p w14:paraId="1C8276CA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factor_series = build_factor(raw_data, config={'lag': 0, 'rolling_window': 4})</w:t>
      </w:r>
    </w:p>
    <w:p w14:paraId="7B69C7A6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1B0EB101">
      <w:pPr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先执行滞后处理：将原始价差序列向后平移 lag 期，生成滞后价差；</w:t>
      </w:r>
    </w:p>
    <w:p w14:paraId="2FDD4E50">
      <w:pPr>
        <w:keepNext w:val="0"/>
        <w:keepLines w:val="0"/>
        <w:widowControl/>
        <w:suppressLineNumbers w:val="0"/>
        <w:ind w:left="72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再执行滚动平均：若 rolling_window &gt; 1，对滞后价差做指定窗口的滚动均值计算；</w:t>
      </w:r>
    </w:p>
    <w:p w14:paraId="52BFA10E">
      <w:pPr>
        <w:keepNext w:val="0"/>
        <w:keepLines w:val="0"/>
        <w:widowControl/>
        <w:suppressLineNumbers w:val="0"/>
        <w:ind w:left="720"/>
        <w:jc w:val="left"/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最终输出的因子序列已自动剔除无效值（如滞后/滚动产生的NaN），保证数据可用性。</w:t>
      </w:r>
    </w:p>
    <w:p w14:paraId="6BB1EDE3">
      <w:bookmarkStart w:id="0" w:name="_GoBack"/>
      <w:bookmarkEnd w:id="0"/>
    </w:p>
    <w:p w14:paraId="57CCC573">
      <w:r>
        <w:t>4. 经济学含义</w:t>
      </w:r>
    </w:p>
    <w:p w14:paraId="20086E58">
      <w:r>
        <w:t>区域套利：USGC 与 Singapore 炼厂的精炼毛利差反映原油和产品在不同地区的供需和成本差异。</w:t>
      </w:r>
    </w:p>
    <w:p w14:paraId="6A784D0A">
      <w:r>
        <w:t>价差预测能力：历史价差较大的时期，可能存在区域套利机会或炼厂布局调整趋势，对油价走势和油品供应链影响显著。</w:t>
      </w:r>
    </w:p>
    <w:p w14:paraId="3FF09088">
      <w:r>
        <w:t>市场信号：价差放大通常意味着某区域供应紧张或运输成本变化，因子可用于捕捉短期油价相对波动的先行信号。</w:t>
      </w:r>
    </w:p>
    <w:p w14:paraId="7E13AE7C"/>
    <w:p w14:paraId="5BDCEEE3">
      <w:r>
        <w:t>5. 因子构建方法</w:t>
      </w:r>
    </w:p>
    <w:p w14:paraId="7F5CED51">
      <w:r>
        <w:t>函数封装：build_factor(df, config)</w:t>
      </w:r>
    </w:p>
    <w:p w14:paraId="24E950C2">
      <w:r>
        <w:t>输入：原始 Excel 数据（DataFrame），配置字典</w:t>
      </w:r>
    </w:p>
    <w:p w14:paraId="0002079C">
      <w:r>
        <w:t>输出：pd.Series，索引为日期，值为因子值，名称 usgc_singapore_margin_spread_factor_v1</w:t>
      </w:r>
    </w:p>
    <w:p w14:paraId="78F502E3">
      <w:r>
        <w:t>CSV 导出：两列</w:t>
      </w:r>
    </w:p>
    <w:p w14:paraId="58389674">
      <w:r>
        <w:t>date（YYYY-MM-DD）</w:t>
      </w:r>
    </w:p>
    <w:p w14:paraId="483BE820">
      <w:r>
        <w:t>usgc_singapore_margin_spread_factor_v1</w:t>
      </w:r>
    </w:p>
    <w:p w14:paraId="2CA0B58D"/>
    <w:p w14:paraId="73936F53">
      <w:r>
        <w:t>6. 因子覆盖范围</w:t>
      </w:r>
    </w:p>
    <w:p w14:paraId="4B57A76F">
      <w:r>
        <w:t>时间：数据从 2000 年至最新季度</w:t>
      </w:r>
    </w:p>
    <w:p w14:paraId="3E7D65D2">
      <w:r>
        <w:t>区域：US Gulf Coast vs Singapore</w:t>
      </w:r>
    </w:p>
    <w:p w14:paraId="0607106C">
      <w:r>
        <w:t>频率：季度</w:t>
      </w:r>
    </w:p>
    <w:p w14:paraId="04BF29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13691"/>
    <w:rsid w:val="00FA5C08"/>
    <w:rsid w:val="010E1E14"/>
    <w:rsid w:val="010E4F6E"/>
    <w:rsid w:val="01292AC0"/>
    <w:rsid w:val="01522FDA"/>
    <w:rsid w:val="0167130E"/>
    <w:rsid w:val="027A1446"/>
    <w:rsid w:val="02E72B1A"/>
    <w:rsid w:val="032B3C1C"/>
    <w:rsid w:val="033E7A60"/>
    <w:rsid w:val="035B63F4"/>
    <w:rsid w:val="03BC0E9D"/>
    <w:rsid w:val="040F3E66"/>
    <w:rsid w:val="05610E93"/>
    <w:rsid w:val="05614B63"/>
    <w:rsid w:val="056367EA"/>
    <w:rsid w:val="059F14A4"/>
    <w:rsid w:val="05D13C9E"/>
    <w:rsid w:val="05E36B5A"/>
    <w:rsid w:val="05F13982"/>
    <w:rsid w:val="060F639F"/>
    <w:rsid w:val="06CD318E"/>
    <w:rsid w:val="076F5347"/>
    <w:rsid w:val="077868A2"/>
    <w:rsid w:val="079941A4"/>
    <w:rsid w:val="07B125BC"/>
    <w:rsid w:val="07F81FAA"/>
    <w:rsid w:val="0852332D"/>
    <w:rsid w:val="086E0412"/>
    <w:rsid w:val="08B544CC"/>
    <w:rsid w:val="08E25E8F"/>
    <w:rsid w:val="091D420B"/>
    <w:rsid w:val="093C0C24"/>
    <w:rsid w:val="095E7BDD"/>
    <w:rsid w:val="09671FCD"/>
    <w:rsid w:val="09EF6DCB"/>
    <w:rsid w:val="0AC46F27"/>
    <w:rsid w:val="0B111DBA"/>
    <w:rsid w:val="0B5647ED"/>
    <w:rsid w:val="0B756CA4"/>
    <w:rsid w:val="0B946FB5"/>
    <w:rsid w:val="0BB70474"/>
    <w:rsid w:val="0BBC6B39"/>
    <w:rsid w:val="0C160487"/>
    <w:rsid w:val="0C574E99"/>
    <w:rsid w:val="0C7A1F1D"/>
    <w:rsid w:val="0D8255F2"/>
    <w:rsid w:val="0EAB140B"/>
    <w:rsid w:val="0EAD177A"/>
    <w:rsid w:val="0EDC5CB3"/>
    <w:rsid w:val="0F567D70"/>
    <w:rsid w:val="0FAC5BB8"/>
    <w:rsid w:val="0FD117A2"/>
    <w:rsid w:val="0FDC05A2"/>
    <w:rsid w:val="10151DE5"/>
    <w:rsid w:val="10192A29"/>
    <w:rsid w:val="103F1B00"/>
    <w:rsid w:val="10A6372F"/>
    <w:rsid w:val="1112515E"/>
    <w:rsid w:val="114E421F"/>
    <w:rsid w:val="119D207C"/>
    <w:rsid w:val="11B12A58"/>
    <w:rsid w:val="11CA61AF"/>
    <w:rsid w:val="12131977"/>
    <w:rsid w:val="129C4CF5"/>
    <w:rsid w:val="129C76C0"/>
    <w:rsid w:val="12C9458E"/>
    <w:rsid w:val="12E27E8B"/>
    <w:rsid w:val="12F824DC"/>
    <w:rsid w:val="13041731"/>
    <w:rsid w:val="134542B6"/>
    <w:rsid w:val="13DA250F"/>
    <w:rsid w:val="13EB6674"/>
    <w:rsid w:val="142838F9"/>
    <w:rsid w:val="14476164"/>
    <w:rsid w:val="146F48E9"/>
    <w:rsid w:val="14713B1A"/>
    <w:rsid w:val="14AA76D6"/>
    <w:rsid w:val="14D62EA9"/>
    <w:rsid w:val="15010839"/>
    <w:rsid w:val="1505415C"/>
    <w:rsid w:val="15080B89"/>
    <w:rsid w:val="15F27940"/>
    <w:rsid w:val="16032ECF"/>
    <w:rsid w:val="160B1830"/>
    <w:rsid w:val="16171BC6"/>
    <w:rsid w:val="164B3423"/>
    <w:rsid w:val="165C6058"/>
    <w:rsid w:val="169D35D4"/>
    <w:rsid w:val="175D5F5B"/>
    <w:rsid w:val="175D6154"/>
    <w:rsid w:val="17816D45"/>
    <w:rsid w:val="17957A73"/>
    <w:rsid w:val="17E37AAE"/>
    <w:rsid w:val="182B6E04"/>
    <w:rsid w:val="186F6C45"/>
    <w:rsid w:val="18D23988"/>
    <w:rsid w:val="190E0700"/>
    <w:rsid w:val="191E2EEA"/>
    <w:rsid w:val="19AC6690"/>
    <w:rsid w:val="19FF5487"/>
    <w:rsid w:val="1A8A65CE"/>
    <w:rsid w:val="1ABF1D03"/>
    <w:rsid w:val="1B121E3F"/>
    <w:rsid w:val="1B9703C5"/>
    <w:rsid w:val="1B9B4C08"/>
    <w:rsid w:val="1B9C337D"/>
    <w:rsid w:val="1C0653F3"/>
    <w:rsid w:val="1CFC0128"/>
    <w:rsid w:val="1D3F18AC"/>
    <w:rsid w:val="1D86172A"/>
    <w:rsid w:val="1DCD6A22"/>
    <w:rsid w:val="1DE2702B"/>
    <w:rsid w:val="1E12595F"/>
    <w:rsid w:val="1E316492"/>
    <w:rsid w:val="1ED744A8"/>
    <w:rsid w:val="1EFB49BD"/>
    <w:rsid w:val="1F5868BE"/>
    <w:rsid w:val="1FB04E94"/>
    <w:rsid w:val="20223C23"/>
    <w:rsid w:val="20637B7A"/>
    <w:rsid w:val="20CE3F85"/>
    <w:rsid w:val="20D254D7"/>
    <w:rsid w:val="21A07893"/>
    <w:rsid w:val="22130322"/>
    <w:rsid w:val="221A3A44"/>
    <w:rsid w:val="2226355E"/>
    <w:rsid w:val="22966C23"/>
    <w:rsid w:val="22C933E0"/>
    <w:rsid w:val="230079B7"/>
    <w:rsid w:val="230C3692"/>
    <w:rsid w:val="2317577E"/>
    <w:rsid w:val="232E6A01"/>
    <w:rsid w:val="23365435"/>
    <w:rsid w:val="23A72EC6"/>
    <w:rsid w:val="23C87302"/>
    <w:rsid w:val="241E76F7"/>
    <w:rsid w:val="244B60BF"/>
    <w:rsid w:val="246F34B0"/>
    <w:rsid w:val="249661B1"/>
    <w:rsid w:val="24F55A3F"/>
    <w:rsid w:val="250E49F2"/>
    <w:rsid w:val="252A22B5"/>
    <w:rsid w:val="2536485B"/>
    <w:rsid w:val="25387269"/>
    <w:rsid w:val="255A3FD9"/>
    <w:rsid w:val="255A5461"/>
    <w:rsid w:val="25E00134"/>
    <w:rsid w:val="26C35B30"/>
    <w:rsid w:val="26F927DC"/>
    <w:rsid w:val="276F11A4"/>
    <w:rsid w:val="27A33524"/>
    <w:rsid w:val="27E22CAD"/>
    <w:rsid w:val="282D6EFC"/>
    <w:rsid w:val="28352E30"/>
    <w:rsid w:val="283E7090"/>
    <w:rsid w:val="28530531"/>
    <w:rsid w:val="289A78F2"/>
    <w:rsid w:val="28E0572C"/>
    <w:rsid w:val="2914533B"/>
    <w:rsid w:val="29415831"/>
    <w:rsid w:val="2955005F"/>
    <w:rsid w:val="298C1931"/>
    <w:rsid w:val="29F607FA"/>
    <w:rsid w:val="2A1D266C"/>
    <w:rsid w:val="2A2166EE"/>
    <w:rsid w:val="2A34348D"/>
    <w:rsid w:val="2A5A6FCA"/>
    <w:rsid w:val="2A6669DD"/>
    <w:rsid w:val="2A7A75B2"/>
    <w:rsid w:val="2AFA775C"/>
    <w:rsid w:val="2B473EDF"/>
    <w:rsid w:val="2BA45AD6"/>
    <w:rsid w:val="2C0313A8"/>
    <w:rsid w:val="2C237ED3"/>
    <w:rsid w:val="2C4525C2"/>
    <w:rsid w:val="2C8737AA"/>
    <w:rsid w:val="2C8A495F"/>
    <w:rsid w:val="2CEB5A84"/>
    <w:rsid w:val="2D4246BC"/>
    <w:rsid w:val="2DCE36D8"/>
    <w:rsid w:val="2DDC0BE3"/>
    <w:rsid w:val="2EA22EAE"/>
    <w:rsid w:val="2EFA18DB"/>
    <w:rsid w:val="2F4D5169"/>
    <w:rsid w:val="2F936E48"/>
    <w:rsid w:val="2FF2588F"/>
    <w:rsid w:val="31147C84"/>
    <w:rsid w:val="31367793"/>
    <w:rsid w:val="31A15272"/>
    <w:rsid w:val="31E934D5"/>
    <w:rsid w:val="328D2734"/>
    <w:rsid w:val="329C31F7"/>
    <w:rsid w:val="32AE31AE"/>
    <w:rsid w:val="32D11119"/>
    <w:rsid w:val="32DD31FD"/>
    <w:rsid w:val="336472E3"/>
    <w:rsid w:val="3364747B"/>
    <w:rsid w:val="345B49C2"/>
    <w:rsid w:val="34703EBA"/>
    <w:rsid w:val="34C71014"/>
    <w:rsid w:val="35505E81"/>
    <w:rsid w:val="35631E20"/>
    <w:rsid w:val="358E06D5"/>
    <w:rsid w:val="360F7196"/>
    <w:rsid w:val="36346E91"/>
    <w:rsid w:val="36AA33F6"/>
    <w:rsid w:val="36C838F1"/>
    <w:rsid w:val="36D65494"/>
    <w:rsid w:val="36DE4B51"/>
    <w:rsid w:val="371A63C7"/>
    <w:rsid w:val="37FA0F09"/>
    <w:rsid w:val="381F7FB4"/>
    <w:rsid w:val="38244BD5"/>
    <w:rsid w:val="38317B28"/>
    <w:rsid w:val="38600A27"/>
    <w:rsid w:val="386046B4"/>
    <w:rsid w:val="386B4E07"/>
    <w:rsid w:val="387B1F73"/>
    <w:rsid w:val="38DC6EDE"/>
    <w:rsid w:val="38E21652"/>
    <w:rsid w:val="38EF5A38"/>
    <w:rsid w:val="3914223C"/>
    <w:rsid w:val="392A34F7"/>
    <w:rsid w:val="39323F5C"/>
    <w:rsid w:val="399434DB"/>
    <w:rsid w:val="39E04A43"/>
    <w:rsid w:val="39FF2A65"/>
    <w:rsid w:val="3A0964E5"/>
    <w:rsid w:val="3AB27504"/>
    <w:rsid w:val="3B20637D"/>
    <w:rsid w:val="3B5B52BE"/>
    <w:rsid w:val="3BD12AED"/>
    <w:rsid w:val="3C5C0DD3"/>
    <w:rsid w:val="3C7D380A"/>
    <w:rsid w:val="3CA7799C"/>
    <w:rsid w:val="3CC176EC"/>
    <w:rsid w:val="3CC66D60"/>
    <w:rsid w:val="3D1A4608"/>
    <w:rsid w:val="3D2E12C9"/>
    <w:rsid w:val="3D9C5728"/>
    <w:rsid w:val="3DAD216C"/>
    <w:rsid w:val="3E187D3B"/>
    <w:rsid w:val="3E287A22"/>
    <w:rsid w:val="3E645E2F"/>
    <w:rsid w:val="3E6A005F"/>
    <w:rsid w:val="3E6D23FA"/>
    <w:rsid w:val="3EA177D5"/>
    <w:rsid w:val="3EEE270C"/>
    <w:rsid w:val="3F230ED8"/>
    <w:rsid w:val="3F977FFE"/>
    <w:rsid w:val="3FB1402D"/>
    <w:rsid w:val="400420D2"/>
    <w:rsid w:val="40B37111"/>
    <w:rsid w:val="4101356D"/>
    <w:rsid w:val="412E2B26"/>
    <w:rsid w:val="41550306"/>
    <w:rsid w:val="41895A0D"/>
    <w:rsid w:val="41972C3C"/>
    <w:rsid w:val="41E158E5"/>
    <w:rsid w:val="42AE53D1"/>
    <w:rsid w:val="42CC0717"/>
    <w:rsid w:val="42D057AB"/>
    <w:rsid w:val="42FF1997"/>
    <w:rsid w:val="43490FBF"/>
    <w:rsid w:val="435272F0"/>
    <w:rsid w:val="4454417F"/>
    <w:rsid w:val="446A18E8"/>
    <w:rsid w:val="457E4CC3"/>
    <w:rsid w:val="45B04512"/>
    <w:rsid w:val="45FD4CB1"/>
    <w:rsid w:val="466E680B"/>
    <w:rsid w:val="4675052F"/>
    <w:rsid w:val="469E58C9"/>
    <w:rsid w:val="46C0058C"/>
    <w:rsid w:val="46C422B2"/>
    <w:rsid w:val="46CD5F25"/>
    <w:rsid w:val="47097BFA"/>
    <w:rsid w:val="47206C7C"/>
    <w:rsid w:val="477E24A6"/>
    <w:rsid w:val="47A049D2"/>
    <w:rsid w:val="47C71B4E"/>
    <w:rsid w:val="48032AD9"/>
    <w:rsid w:val="483E7259"/>
    <w:rsid w:val="48AC2377"/>
    <w:rsid w:val="48D24A1A"/>
    <w:rsid w:val="48D6451F"/>
    <w:rsid w:val="490B4844"/>
    <w:rsid w:val="4AFD4530"/>
    <w:rsid w:val="4B0E349A"/>
    <w:rsid w:val="4B471143"/>
    <w:rsid w:val="4B80717A"/>
    <w:rsid w:val="4BBA252D"/>
    <w:rsid w:val="4CB836A9"/>
    <w:rsid w:val="4D130A25"/>
    <w:rsid w:val="4D1F5B83"/>
    <w:rsid w:val="4D8C33FE"/>
    <w:rsid w:val="4E380CC3"/>
    <w:rsid w:val="4E53036B"/>
    <w:rsid w:val="4E572491"/>
    <w:rsid w:val="4E58226E"/>
    <w:rsid w:val="4EB671E4"/>
    <w:rsid w:val="4F2265A8"/>
    <w:rsid w:val="4F9D5D96"/>
    <w:rsid w:val="4FC564AC"/>
    <w:rsid w:val="4FEC3CA2"/>
    <w:rsid w:val="501F44E6"/>
    <w:rsid w:val="502A571D"/>
    <w:rsid w:val="504A0EAA"/>
    <w:rsid w:val="50677580"/>
    <w:rsid w:val="508814BC"/>
    <w:rsid w:val="50AA2368"/>
    <w:rsid w:val="50CC1FD0"/>
    <w:rsid w:val="50FE2690"/>
    <w:rsid w:val="51132DE2"/>
    <w:rsid w:val="51746C09"/>
    <w:rsid w:val="51BF315D"/>
    <w:rsid w:val="51F021AD"/>
    <w:rsid w:val="52BD77B8"/>
    <w:rsid w:val="52E31D12"/>
    <w:rsid w:val="53173F2F"/>
    <w:rsid w:val="535112B4"/>
    <w:rsid w:val="538520D6"/>
    <w:rsid w:val="53963336"/>
    <w:rsid w:val="53C140E5"/>
    <w:rsid w:val="54BA4247"/>
    <w:rsid w:val="54C759CF"/>
    <w:rsid w:val="552044B6"/>
    <w:rsid w:val="55282F5D"/>
    <w:rsid w:val="55EC1B56"/>
    <w:rsid w:val="56D0765D"/>
    <w:rsid w:val="56D5212A"/>
    <w:rsid w:val="573A3ECB"/>
    <w:rsid w:val="57574D9F"/>
    <w:rsid w:val="5782427D"/>
    <w:rsid w:val="57914433"/>
    <w:rsid w:val="57AB3143"/>
    <w:rsid w:val="57E12FAD"/>
    <w:rsid w:val="58146A07"/>
    <w:rsid w:val="58355FEB"/>
    <w:rsid w:val="584F41D7"/>
    <w:rsid w:val="588C15CC"/>
    <w:rsid w:val="58BE67C2"/>
    <w:rsid w:val="58D464B5"/>
    <w:rsid w:val="59262FC6"/>
    <w:rsid w:val="593C62FB"/>
    <w:rsid w:val="59A851B9"/>
    <w:rsid w:val="59ED6DDB"/>
    <w:rsid w:val="59FE06FB"/>
    <w:rsid w:val="5A1008C1"/>
    <w:rsid w:val="5A573DE0"/>
    <w:rsid w:val="5B1931EA"/>
    <w:rsid w:val="5B367D1C"/>
    <w:rsid w:val="5BA17571"/>
    <w:rsid w:val="5C335AB8"/>
    <w:rsid w:val="5C5F173A"/>
    <w:rsid w:val="5C796266"/>
    <w:rsid w:val="5C86411D"/>
    <w:rsid w:val="5CCD590D"/>
    <w:rsid w:val="5CFA46CE"/>
    <w:rsid w:val="5CFB5EAA"/>
    <w:rsid w:val="5D066D29"/>
    <w:rsid w:val="5D2A3F17"/>
    <w:rsid w:val="5D7B2C4E"/>
    <w:rsid w:val="5D8F3D13"/>
    <w:rsid w:val="5DAC7A6B"/>
    <w:rsid w:val="5DAD55EA"/>
    <w:rsid w:val="5E4966A0"/>
    <w:rsid w:val="5E4E54C8"/>
    <w:rsid w:val="5E5D5321"/>
    <w:rsid w:val="5EB17167"/>
    <w:rsid w:val="5EFD6A01"/>
    <w:rsid w:val="5F4F3B85"/>
    <w:rsid w:val="5F7B0F00"/>
    <w:rsid w:val="5F9040D2"/>
    <w:rsid w:val="5FF46D36"/>
    <w:rsid w:val="602D4904"/>
    <w:rsid w:val="605814A9"/>
    <w:rsid w:val="610F4EC1"/>
    <w:rsid w:val="6135537B"/>
    <w:rsid w:val="61C24674"/>
    <w:rsid w:val="620174BF"/>
    <w:rsid w:val="620677CB"/>
    <w:rsid w:val="6223212B"/>
    <w:rsid w:val="62365EE5"/>
    <w:rsid w:val="623C3CCB"/>
    <w:rsid w:val="636465DA"/>
    <w:rsid w:val="637D4D45"/>
    <w:rsid w:val="63926B24"/>
    <w:rsid w:val="63D538F9"/>
    <w:rsid w:val="64300B2F"/>
    <w:rsid w:val="6435296A"/>
    <w:rsid w:val="64704D79"/>
    <w:rsid w:val="64F65EA1"/>
    <w:rsid w:val="651F307E"/>
    <w:rsid w:val="65282352"/>
    <w:rsid w:val="6569501E"/>
    <w:rsid w:val="672C4E52"/>
    <w:rsid w:val="67D71AB0"/>
    <w:rsid w:val="68153E56"/>
    <w:rsid w:val="68B94451"/>
    <w:rsid w:val="68C51714"/>
    <w:rsid w:val="68D300DD"/>
    <w:rsid w:val="68F16ADF"/>
    <w:rsid w:val="693F5E25"/>
    <w:rsid w:val="695A5F7D"/>
    <w:rsid w:val="699C24DE"/>
    <w:rsid w:val="6A23552C"/>
    <w:rsid w:val="6A3C0286"/>
    <w:rsid w:val="6A3D3FA6"/>
    <w:rsid w:val="6AB778CB"/>
    <w:rsid w:val="6AE06CE4"/>
    <w:rsid w:val="6B067241"/>
    <w:rsid w:val="6B711AB5"/>
    <w:rsid w:val="6C4B6506"/>
    <w:rsid w:val="6C8D4D71"/>
    <w:rsid w:val="6CB83AF0"/>
    <w:rsid w:val="6CED33EA"/>
    <w:rsid w:val="6D297EFB"/>
    <w:rsid w:val="6D6C3AF6"/>
    <w:rsid w:val="6D743A98"/>
    <w:rsid w:val="6DAE0689"/>
    <w:rsid w:val="6E0A00FE"/>
    <w:rsid w:val="6E1E2CAF"/>
    <w:rsid w:val="6E522EF6"/>
    <w:rsid w:val="6E6C4E5A"/>
    <w:rsid w:val="6E7B7CFA"/>
    <w:rsid w:val="6EAC2B62"/>
    <w:rsid w:val="6EC42F5F"/>
    <w:rsid w:val="6F5B0EDE"/>
    <w:rsid w:val="6F8F1BFE"/>
    <w:rsid w:val="6FC65A43"/>
    <w:rsid w:val="6FC90B86"/>
    <w:rsid w:val="70025865"/>
    <w:rsid w:val="700A5CDC"/>
    <w:rsid w:val="701A5722"/>
    <w:rsid w:val="709661BE"/>
    <w:rsid w:val="70C44AD9"/>
    <w:rsid w:val="70F841F1"/>
    <w:rsid w:val="71015D2D"/>
    <w:rsid w:val="711E7547"/>
    <w:rsid w:val="714560AB"/>
    <w:rsid w:val="71657B51"/>
    <w:rsid w:val="71864485"/>
    <w:rsid w:val="724A34C0"/>
    <w:rsid w:val="726D67FC"/>
    <w:rsid w:val="72A93F87"/>
    <w:rsid w:val="72D96CB3"/>
    <w:rsid w:val="72EC1B47"/>
    <w:rsid w:val="734C3C73"/>
    <w:rsid w:val="7404585C"/>
    <w:rsid w:val="742010BC"/>
    <w:rsid w:val="75EB10D3"/>
    <w:rsid w:val="76E2518F"/>
    <w:rsid w:val="770B58EA"/>
    <w:rsid w:val="777E3E45"/>
    <w:rsid w:val="77E04F20"/>
    <w:rsid w:val="77F94FB4"/>
    <w:rsid w:val="781670EC"/>
    <w:rsid w:val="78322234"/>
    <w:rsid w:val="78874D6A"/>
    <w:rsid w:val="78CB2770"/>
    <w:rsid w:val="78D37FAF"/>
    <w:rsid w:val="79143567"/>
    <w:rsid w:val="79397A68"/>
    <w:rsid w:val="79957FC1"/>
    <w:rsid w:val="79AD33B5"/>
    <w:rsid w:val="7A1D6C2D"/>
    <w:rsid w:val="7A37174A"/>
    <w:rsid w:val="7A684727"/>
    <w:rsid w:val="7A94432C"/>
    <w:rsid w:val="7ACB29FF"/>
    <w:rsid w:val="7AD41DBD"/>
    <w:rsid w:val="7B0216BD"/>
    <w:rsid w:val="7B0E1C19"/>
    <w:rsid w:val="7C263DBF"/>
    <w:rsid w:val="7C507063"/>
    <w:rsid w:val="7C5160EE"/>
    <w:rsid w:val="7C5D7098"/>
    <w:rsid w:val="7C8F7F7C"/>
    <w:rsid w:val="7C9D52A2"/>
    <w:rsid w:val="7CE341BC"/>
    <w:rsid w:val="7D221534"/>
    <w:rsid w:val="7D6E474B"/>
    <w:rsid w:val="7E074257"/>
    <w:rsid w:val="7E263244"/>
    <w:rsid w:val="7E5D30AA"/>
    <w:rsid w:val="7E5D30CD"/>
    <w:rsid w:val="7E7127D3"/>
    <w:rsid w:val="7EC565EC"/>
    <w:rsid w:val="7EEF5417"/>
    <w:rsid w:val="7F1D6A7B"/>
    <w:rsid w:val="7F1F1200"/>
    <w:rsid w:val="7F452F1B"/>
    <w:rsid w:val="7F844222"/>
    <w:rsid w:val="7FA123EB"/>
    <w:rsid w:val="7FCF1130"/>
    <w:rsid w:val="7FD6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508</Words>
  <Characters>843</Characters>
  <Lines>0</Lines>
  <Paragraphs>0</Paragraphs>
  <TotalTime>5</TotalTime>
  <ScaleCrop>false</ScaleCrop>
  <LinksUpToDate>false</LinksUpToDate>
  <CharactersWithSpaces>880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2025-03-27T14:00:00Z</dcterms:created>
  <dc:creator>13471</dc:creator>
  <cp:lastModifiedBy>北鱼</cp:lastModifiedBy>
  <dcterms:modified xsi:type="dcterms:W3CDTF">2026-01-31T07:35:21Z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9D9B14D25FCA4E54997E9974DD0E462C_12</vt:lpwstr>
  </property>
  <property fmtid="{D5CDD505-2E9C-101B-9397-08002B2CF9AE}" pid="4" name="KSOTemplateDocerSaveRecord">
    <vt:lpwstr>eyJoZGlkIjoiMzZjYTkyZjAwNjRjNGY3Mzc3YWU5Yzk1YmE1YjY0OWYiLCJ1c2VySWQiOiIzNDMyMTg1MTEifQ==</vt:lpwstr>
  </property>
</Properties>
</file>