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D1B6B" w14:textId="77777777" w:rsidR="001F67F8" w:rsidRDefault="00000000">
      <w:pPr>
        <w:pStyle w:val="1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原油价格预测因子数据集：交接说明文档</w:t>
      </w:r>
    </w:p>
    <w:p w14:paraId="44849C21" w14:textId="77777777" w:rsidR="001F67F8" w:rsidRDefault="00000000">
      <w:pPr>
        <w:rPr>
          <w:rFonts w:ascii="微软雅黑" w:eastAsia="微软雅黑" w:hAnsi="微软雅黑" w:cs="微软雅黑" w:hint="eastAsia"/>
          <w:b/>
          <w:bCs/>
        </w:rPr>
      </w:pPr>
      <w:r>
        <w:rPr>
          <w:rFonts w:ascii="微软雅黑" w:eastAsia="微软雅黑" w:hAnsi="微软雅黑" w:cs="微软雅黑" w:hint="eastAsia"/>
          <w:b/>
          <w:bCs/>
        </w:rPr>
        <w:t>一、 数据集概况 (Dataset Overview)文件名：ULTIMATE_OIL_PRICE_DATASET.csv</w:t>
      </w:r>
    </w:p>
    <w:p w14:paraId="6C43513E" w14:textId="77777777" w:rsidR="001F67F8" w:rsidRDefault="00000000">
      <w:pPr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>时间跨度：1996-05-15 至 2026-01-26</w:t>
      </w:r>
    </w:p>
    <w:p w14:paraId="7E308900" w14:textId="77777777" w:rsidR="001F67F8" w:rsidRDefault="00000000">
      <w:pPr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>观测频率：</w:t>
      </w:r>
      <w:proofErr w:type="gramStart"/>
      <w:r>
        <w:rPr>
          <w:rFonts w:ascii="微软雅黑" w:eastAsia="微软雅黑" w:hAnsi="微软雅黑" w:cs="微软雅黑" w:hint="eastAsia"/>
        </w:rPr>
        <w:t>日度</w:t>
      </w:r>
      <w:proofErr w:type="gramEnd"/>
      <w:r>
        <w:rPr>
          <w:rFonts w:ascii="微软雅黑" w:eastAsia="微软雅黑" w:hAnsi="微软雅黑" w:cs="微软雅黑" w:hint="eastAsia"/>
        </w:rPr>
        <w:t xml:space="preserve"> (Daily Trading Days)</w:t>
      </w:r>
    </w:p>
    <w:p w14:paraId="3EBB0FB2" w14:textId="77777777" w:rsidR="001F67F8" w:rsidRDefault="00000000">
      <w:pPr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因子规模：共 23 </w:t>
      </w:r>
      <w:proofErr w:type="gramStart"/>
      <w:r>
        <w:rPr>
          <w:rFonts w:ascii="微软雅黑" w:eastAsia="微软雅黑" w:hAnsi="微软雅黑" w:cs="微软雅黑" w:hint="eastAsia"/>
        </w:rPr>
        <w:t>个</w:t>
      </w:r>
      <w:proofErr w:type="gramEnd"/>
      <w:r>
        <w:rPr>
          <w:rFonts w:ascii="微软雅黑" w:eastAsia="微软雅黑" w:hAnsi="微软雅黑" w:cs="微软雅黑" w:hint="eastAsia"/>
        </w:rPr>
        <w:t>核心因子，已实现 100% 时间戳对齐</w:t>
      </w:r>
    </w:p>
    <w:p w14:paraId="0F350A22" w14:textId="77777777" w:rsidR="001F67F8" w:rsidRDefault="00000000">
      <w:pPr>
        <w:rPr>
          <w:rFonts w:ascii="微软雅黑" w:eastAsia="微软雅黑" w:hAnsi="微软雅黑" w:cs="微软雅黑" w:hint="eastAsia"/>
          <w:b/>
          <w:bCs/>
        </w:rPr>
      </w:pPr>
      <w:r>
        <w:rPr>
          <w:rFonts w:ascii="微软雅黑" w:eastAsia="微软雅黑" w:hAnsi="微软雅黑" w:cs="微软雅黑" w:hint="eastAsia"/>
          <w:b/>
          <w:bCs/>
        </w:rPr>
        <w:t>二、 核心处理逻辑 (Core Processing Pipeline)多源对齐 (Alignment)：</w:t>
      </w:r>
    </w:p>
    <w:p w14:paraId="1FDEEC71" w14:textId="77777777" w:rsidR="001F67F8" w:rsidRDefault="00000000">
      <w:pPr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>以 WTI 现货价格（Cushing, OK）的交易日为主轴。</w:t>
      </w:r>
    </w:p>
    <w:p w14:paraId="38E35DB9" w14:textId="77777777" w:rsidR="001F67F8" w:rsidRDefault="00000000">
      <w:pPr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针对美元指数、道指等节假日不同的数据，采用 </w:t>
      </w:r>
      <w:proofErr w:type="spellStart"/>
      <w:r>
        <w:rPr>
          <w:rFonts w:ascii="微软雅黑" w:eastAsia="微软雅黑" w:hAnsi="微软雅黑" w:cs="微软雅黑" w:hint="eastAsia"/>
        </w:rPr>
        <w:t>ffill</w:t>
      </w:r>
      <w:proofErr w:type="spellEnd"/>
      <w:r>
        <w:rPr>
          <w:rFonts w:ascii="微软雅黑" w:eastAsia="微软雅黑" w:hAnsi="微软雅黑" w:cs="微软雅黑" w:hint="eastAsia"/>
        </w:rPr>
        <w:t>(limit=3) 进行了平滑对齐，确保特征矩阵无空洞。</w:t>
      </w:r>
    </w:p>
    <w:p w14:paraId="4DCDB98E" w14:textId="77777777" w:rsidR="001F67F8" w:rsidRDefault="00000000">
      <w:pPr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>量纲转换 (Unit Standardization)：</w:t>
      </w:r>
    </w:p>
    <w:p w14:paraId="48935306" w14:textId="77777777" w:rsidR="001F67F8" w:rsidRDefault="00000000">
      <w:pPr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>严格执行“原油-成品油”单位换算。计算裂解价差（Crack Spread）时，已将 WTI（美元/桶）转换为加仑单位：$$Crack\_Spread = Price_{Product} - \</w:t>
      </w:r>
      <w:proofErr w:type="gramStart"/>
      <w:r>
        <w:rPr>
          <w:rFonts w:ascii="微软雅黑" w:eastAsia="微软雅黑" w:hAnsi="微软雅黑" w:cs="微软雅黑" w:hint="eastAsia"/>
        </w:rPr>
        <w:t>frac{</w:t>
      </w:r>
      <w:proofErr w:type="gramEnd"/>
      <w:r>
        <w:rPr>
          <w:rFonts w:ascii="微软雅黑" w:eastAsia="微软雅黑" w:hAnsi="微软雅黑" w:cs="微软雅黑" w:hint="eastAsia"/>
        </w:rPr>
        <w:t>Price_{WTI}}{</w:t>
      </w:r>
      <w:proofErr w:type="gramStart"/>
      <w:r>
        <w:rPr>
          <w:rFonts w:ascii="微软雅黑" w:eastAsia="微软雅黑" w:hAnsi="微软雅黑" w:cs="微软雅黑" w:hint="eastAsia"/>
        </w:rPr>
        <w:t>42}$</w:t>
      </w:r>
      <w:proofErr w:type="gramEnd"/>
      <w:r>
        <w:rPr>
          <w:rFonts w:ascii="微软雅黑" w:eastAsia="微软雅黑" w:hAnsi="微软雅黑" w:cs="微软雅黑" w:hint="eastAsia"/>
        </w:rPr>
        <w:t>$</w:t>
      </w:r>
    </w:p>
    <w:p w14:paraId="5A0DA3DC" w14:textId="77777777" w:rsidR="001F67F8" w:rsidRDefault="00000000">
      <w:pPr>
        <w:rPr>
          <w:rFonts w:ascii="微软雅黑" w:eastAsia="微软雅黑" w:hAnsi="微软雅黑" w:cs="微软雅黑" w:hint="eastAsia"/>
        </w:rPr>
      </w:pPr>
      <w:proofErr w:type="gramStart"/>
      <w:r>
        <w:rPr>
          <w:rFonts w:ascii="微软雅黑" w:eastAsia="微软雅黑" w:hAnsi="微软雅黑" w:cs="微软雅黑" w:hint="eastAsia"/>
        </w:rPr>
        <w:t>防未来</w:t>
      </w:r>
      <w:proofErr w:type="gramEnd"/>
      <w:r>
        <w:rPr>
          <w:rFonts w:ascii="微软雅黑" w:eastAsia="微软雅黑" w:hAnsi="微软雅黑" w:cs="微软雅黑" w:hint="eastAsia"/>
        </w:rPr>
        <w:t>函数处理 (Look-back Only)：</w:t>
      </w:r>
    </w:p>
    <w:p w14:paraId="76BDC521" w14:textId="77777777" w:rsidR="001F67F8" w:rsidRDefault="00000000">
      <w:pPr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>所有滚动窗口（5d, 10d, 20d, 60d）计算均严格基于历史数据，未包含任何 $T+1$ 后的信息，</w:t>
      </w:r>
      <w:proofErr w:type="gramStart"/>
      <w:r>
        <w:rPr>
          <w:rFonts w:ascii="微软雅黑" w:eastAsia="微软雅黑" w:hAnsi="微软雅黑" w:cs="微软雅黑" w:hint="eastAsia"/>
        </w:rPr>
        <w:t>确保回测</w:t>
      </w:r>
      <w:proofErr w:type="gramEnd"/>
      <w:r>
        <w:rPr>
          <w:rFonts w:ascii="微软雅黑" w:eastAsia="微软雅黑" w:hAnsi="微软雅黑" w:cs="微软雅黑" w:hint="eastAsia"/>
        </w:rPr>
        <w:t>结果真实有效。</w:t>
      </w:r>
    </w:p>
    <w:p w14:paraId="14A3E5A4" w14:textId="77777777" w:rsidR="001F67F8" w:rsidRDefault="00000000">
      <w:pPr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>低频数据平滑 (Low-</w:t>
      </w:r>
      <w:proofErr w:type="spellStart"/>
      <w:r>
        <w:rPr>
          <w:rFonts w:ascii="微软雅黑" w:eastAsia="微软雅黑" w:hAnsi="微软雅黑" w:cs="微软雅黑" w:hint="eastAsia"/>
        </w:rPr>
        <w:t>freq</w:t>
      </w:r>
      <w:proofErr w:type="spellEnd"/>
      <w:r>
        <w:rPr>
          <w:rFonts w:ascii="微软雅黑" w:eastAsia="微软雅黑" w:hAnsi="微软雅黑" w:cs="微软雅黑" w:hint="eastAsia"/>
        </w:rPr>
        <w:t xml:space="preserve"> Smoothing)：</w:t>
      </w:r>
    </w:p>
    <w:p w14:paraId="53DF9F11" w14:textId="77777777" w:rsidR="001F67F8" w:rsidRDefault="00000000">
      <w:pPr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 xml:space="preserve">炼厂经营利润（季度更新）与石油消耗动量（年度更新）已通过 </w:t>
      </w:r>
      <w:proofErr w:type="spellStart"/>
      <w:r>
        <w:rPr>
          <w:rFonts w:ascii="微软雅黑" w:eastAsia="微软雅黑" w:hAnsi="微软雅黑" w:cs="微软雅黑" w:hint="eastAsia"/>
        </w:rPr>
        <w:t>ffill</w:t>
      </w:r>
      <w:proofErr w:type="spellEnd"/>
      <w:r>
        <w:rPr>
          <w:rFonts w:ascii="微软雅黑" w:eastAsia="微软雅黑" w:hAnsi="微软雅黑" w:cs="微软雅黑" w:hint="eastAsia"/>
        </w:rPr>
        <w:t>(limit=366) 填充至日度。这保证了模型在每一天都能感知到宏观基本面的变化，而不会因为数据频率不匹配导致变量丢失。</w:t>
      </w:r>
    </w:p>
    <w:p w14:paraId="05EBE2B1" w14:textId="77777777" w:rsidR="001F67F8" w:rsidRDefault="00000000">
      <w:pPr>
        <w:rPr>
          <w:rFonts w:ascii="微软雅黑" w:eastAsia="微软雅黑" w:hAnsi="微软雅黑" w:cs="微软雅黑" w:hint="eastAsia"/>
          <w:b/>
          <w:bCs/>
        </w:rPr>
      </w:pPr>
      <w:r>
        <w:rPr>
          <w:rFonts w:ascii="微软雅黑" w:eastAsia="微软雅黑" w:hAnsi="微软雅黑" w:cs="微软雅黑" w:hint="eastAsia"/>
          <w:b/>
          <w:bCs/>
        </w:rPr>
        <w:t>三、 因子字典 (Data Dictionary)</w:t>
      </w:r>
    </w:p>
    <w:tbl>
      <w:tblPr>
        <w:tblW w:w="8411" w:type="dxa"/>
        <w:tblCellSpacing w:w="15" w:type="dxa"/>
        <w:tblInd w:w="1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0"/>
        <w:gridCol w:w="2637"/>
        <w:gridCol w:w="4554"/>
      </w:tblGrid>
      <w:tr w:rsidR="001F67F8" w14:paraId="4E9B0E9B" w14:textId="77777777">
        <w:trPr>
          <w:tblHeader/>
          <w:tblCellSpacing w:w="15" w:type="dxa"/>
        </w:trPr>
        <w:tc>
          <w:tcPr>
            <w:tcW w:w="1175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05163A58" w14:textId="77777777" w:rsidR="001F67F8" w:rsidRDefault="00000000">
            <w:pPr>
              <w:rPr>
                <w:rFonts w:ascii="微软雅黑" w:eastAsia="微软雅黑" w:hAnsi="微软雅黑" w:cs="微软雅黑" w:hint="eastAsia"/>
                <w:color w:val="000000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</w:rPr>
              <w:lastRenderedPageBreak/>
              <w:t>类别</w:t>
            </w:r>
          </w:p>
        </w:tc>
        <w:tc>
          <w:tcPr>
            <w:tcW w:w="2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3D969BA" w14:textId="77777777" w:rsidR="001F67F8" w:rsidRDefault="00000000">
            <w:pPr>
              <w:rPr>
                <w:rFonts w:ascii="微软雅黑" w:eastAsia="微软雅黑" w:hAnsi="微软雅黑" w:cs="微软雅黑" w:hint="eastAsia"/>
                <w:color w:val="000000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</w:rPr>
              <w:t>因子代码 (Column Name)</w:t>
            </w:r>
          </w:p>
        </w:tc>
        <w:tc>
          <w:tcPr>
            <w:tcW w:w="45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3348E26" w14:textId="77777777" w:rsidR="001F67F8" w:rsidRDefault="00000000">
            <w:pPr>
              <w:rPr>
                <w:rFonts w:ascii="微软雅黑" w:eastAsia="微软雅黑" w:hAnsi="微软雅黑" w:cs="微软雅黑" w:hint="eastAsia"/>
                <w:color w:val="000000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</w:rPr>
              <w:t>业务逻辑 (Logic)</w:t>
            </w:r>
          </w:p>
        </w:tc>
      </w:tr>
      <w:tr w:rsidR="001F67F8" w14:paraId="1B533659" w14:textId="77777777">
        <w:trPr>
          <w:tblCellSpacing w:w="15" w:type="dxa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00B2AE5" w14:textId="77777777" w:rsidR="001F67F8" w:rsidRDefault="00000000">
            <w:pPr>
              <w:rPr>
                <w:rFonts w:ascii="微软雅黑" w:eastAsia="微软雅黑" w:hAnsi="微软雅黑" w:cs="微软雅黑" w:hint="eastAsia"/>
                <w:color w:val="000000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</w:rPr>
              <w:t>宏观基础</w:t>
            </w:r>
          </w:p>
        </w:tc>
        <w:tc>
          <w:tcPr>
            <w:tcW w:w="2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59AA444" w14:textId="77777777" w:rsidR="001F67F8" w:rsidRDefault="00000000">
            <w:pPr>
              <w:rPr>
                <w:rFonts w:ascii="微软雅黑" w:eastAsia="微软雅黑" w:hAnsi="微软雅黑" w:cs="微软雅黑" w:hint="eastAsia"/>
                <w:color w:val="000000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</w:rPr>
              <w:t>Docx_</w:t>
            </w:r>
            <w:r>
              <w:rPr>
                <w:rFonts w:ascii="微软雅黑" w:eastAsia="微软雅黑" w:hAnsi="微软雅黑" w:cs="微软雅黑" w:hint="eastAsia"/>
                <w:color w:val="000000"/>
                <w:sz w:val="24"/>
              </w:rPr>
              <w:t>F</w:t>
            </w:r>
            <w:r>
              <w:rPr>
                <w:rFonts w:ascii="微软雅黑" w:eastAsia="微软雅黑" w:hAnsi="微软雅黑" w:cs="微软雅黑" w:hint="eastAsia"/>
                <w:color w:val="000000"/>
              </w:rPr>
              <w:t>1 - Docx_F5</w:t>
            </w:r>
          </w:p>
        </w:tc>
        <w:tc>
          <w:tcPr>
            <w:tcW w:w="45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7B20B7A" w14:textId="77777777" w:rsidR="001F67F8" w:rsidRDefault="00000000">
            <w:pPr>
              <w:rPr>
                <w:rFonts w:ascii="微软雅黑" w:eastAsia="微软雅黑" w:hAnsi="微软雅黑" w:cs="微软雅黑" w:hint="eastAsia"/>
                <w:color w:val="000000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</w:rPr>
              <w:t>涵盖 WTI 动量、布伦特-WTI 价差、美元指数收益、美</w:t>
            </w:r>
            <w:proofErr w:type="gramStart"/>
            <w:r>
              <w:rPr>
                <w:rFonts w:ascii="微软雅黑" w:eastAsia="微软雅黑" w:hAnsi="微软雅黑" w:cs="微软雅黑" w:hint="eastAsia"/>
                <w:color w:val="000000"/>
              </w:rPr>
              <w:t>股情绪</w:t>
            </w:r>
            <w:proofErr w:type="gramEnd"/>
            <w:r>
              <w:rPr>
                <w:rFonts w:ascii="微软雅黑" w:eastAsia="微软雅黑" w:hAnsi="微软雅黑" w:cs="微软雅黑" w:hint="eastAsia"/>
                <w:color w:val="000000"/>
              </w:rPr>
              <w:t>及钻机数增长。</w:t>
            </w:r>
          </w:p>
        </w:tc>
      </w:tr>
      <w:tr w:rsidR="001F67F8" w14:paraId="232D5FFD" w14:textId="77777777">
        <w:trPr>
          <w:tblCellSpacing w:w="15" w:type="dxa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F306391" w14:textId="77777777" w:rsidR="001F67F8" w:rsidRDefault="00000000">
            <w:pPr>
              <w:rPr>
                <w:rFonts w:ascii="微软雅黑" w:eastAsia="微软雅黑" w:hAnsi="微软雅黑" w:cs="微软雅黑" w:hint="eastAsia"/>
                <w:color w:val="000000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</w:rPr>
              <w:t>成品油动能</w:t>
            </w:r>
          </w:p>
        </w:tc>
        <w:tc>
          <w:tcPr>
            <w:tcW w:w="2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ABB4DE1" w14:textId="77777777" w:rsidR="001F67F8" w:rsidRDefault="00000000">
            <w:pPr>
              <w:rPr>
                <w:rFonts w:ascii="微软雅黑" w:eastAsia="微软雅黑" w:hAnsi="微软雅黑" w:cs="微软雅黑" w:hint="eastAsia"/>
                <w:color w:val="000000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</w:rPr>
              <w:t>PDF_F1 - PDF_F4</w:t>
            </w:r>
          </w:p>
        </w:tc>
        <w:tc>
          <w:tcPr>
            <w:tcW w:w="45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3CB6198" w14:textId="77777777" w:rsidR="001F67F8" w:rsidRDefault="00000000">
            <w:pPr>
              <w:rPr>
                <w:rFonts w:ascii="微软雅黑" w:eastAsia="微软雅黑" w:hAnsi="微软雅黑" w:cs="微软雅黑" w:hint="eastAsia"/>
                <w:color w:val="000000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</w:rPr>
              <w:t>汽油、柴油的波动率调整动量及需求强度。</w:t>
            </w:r>
          </w:p>
        </w:tc>
      </w:tr>
      <w:tr w:rsidR="001F67F8" w14:paraId="2BE9A364" w14:textId="77777777">
        <w:trPr>
          <w:tblCellSpacing w:w="15" w:type="dxa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52C4A11" w14:textId="77777777" w:rsidR="001F67F8" w:rsidRDefault="00000000">
            <w:pPr>
              <w:rPr>
                <w:rFonts w:ascii="微软雅黑" w:eastAsia="微软雅黑" w:hAnsi="微软雅黑" w:cs="微软雅黑" w:hint="eastAsia"/>
                <w:color w:val="000000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</w:rPr>
              <w:t>热力与制度</w:t>
            </w:r>
          </w:p>
        </w:tc>
        <w:tc>
          <w:tcPr>
            <w:tcW w:w="2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A6154BC" w14:textId="77777777" w:rsidR="001F67F8" w:rsidRDefault="00000000">
            <w:pPr>
              <w:rPr>
                <w:rFonts w:ascii="微软雅黑" w:eastAsia="微软雅黑" w:hAnsi="微软雅黑" w:cs="微软雅黑" w:hint="eastAsia"/>
                <w:color w:val="000000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</w:rPr>
              <w:t>PDF_F5 - PDF_F8</w:t>
            </w:r>
          </w:p>
        </w:tc>
        <w:tc>
          <w:tcPr>
            <w:tcW w:w="45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E0919C8" w14:textId="77777777" w:rsidR="001F67F8" w:rsidRDefault="00000000">
            <w:pPr>
              <w:rPr>
                <w:rFonts w:ascii="微软雅黑" w:eastAsia="微软雅黑" w:hAnsi="微软雅黑" w:cs="微软雅黑" w:hint="eastAsia"/>
                <w:color w:val="000000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</w:rPr>
              <w:t>取暖油季节性偏离、均值回归信号及波动</w:t>
            </w:r>
            <w:proofErr w:type="gramStart"/>
            <w:r>
              <w:rPr>
                <w:rFonts w:ascii="微软雅黑" w:eastAsia="微软雅黑" w:hAnsi="微软雅黑" w:cs="微软雅黑" w:hint="eastAsia"/>
                <w:color w:val="000000"/>
              </w:rPr>
              <w:t>率制度</w:t>
            </w:r>
            <w:proofErr w:type="gramEnd"/>
            <w:r>
              <w:rPr>
                <w:rFonts w:ascii="微软雅黑" w:eastAsia="微软雅黑" w:hAnsi="微软雅黑" w:cs="微软雅黑" w:hint="eastAsia"/>
                <w:color w:val="000000"/>
              </w:rPr>
              <w:t>转换。</w:t>
            </w:r>
          </w:p>
        </w:tc>
      </w:tr>
      <w:tr w:rsidR="001F67F8" w14:paraId="00EA02C6" w14:textId="77777777">
        <w:trPr>
          <w:tblCellSpacing w:w="15" w:type="dxa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65EDA4F" w14:textId="77777777" w:rsidR="001F67F8" w:rsidRDefault="00000000">
            <w:pPr>
              <w:rPr>
                <w:rFonts w:ascii="微软雅黑" w:eastAsia="微软雅黑" w:hAnsi="微软雅黑" w:cs="微软雅黑" w:hint="eastAsia"/>
                <w:color w:val="000000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</w:rPr>
              <w:t>综合炼化</w:t>
            </w:r>
          </w:p>
        </w:tc>
        <w:tc>
          <w:tcPr>
            <w:tcW w:w="2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04B209A" w14:textId="77777777" w:rsidR="001F67F8" w:rsidRDefault="00000000">
            <w:pPr>
              <w:rPr>
                <w:rFonts w:ascii="微软雅黑" w:eastAsia="微软雅黑" w:hAnsi="微软雅黑" w:cs="微软雅黑" w:hint="eastAsia"/>
                <w:color w:val="000000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</w:rPr>
              <w:t>PDF_F9 - PDF_F13</w:t>
            </w:r>
          </w:p>
        </w:tc>
        <w:tc>
          <w:tcPr>
            <w:tcW w:w="45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513E198" w14:textId="77777777" w:rsidR="001F67F8" w:rsidRDefault="00000000">
            <w:pPr>
              <w:rPr>
                <w:rFonts w:ascii="微软雅黑" w:eastAsia="微软雅黑" w:hAnsi="微软雅黑" w:cs="微软雅黑" w:hint="eastAsia"/>
                <w:color w:val="000000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</w:rPr>
              <w:t>综合成品油动能、柴汽比价偏移及炼厂利润压力指标。</w:t>
            </w:r>
          </w:p>
        </w:tc>
      </w:tr>
      <w:tr w:rsidR="001F67F8" w14:paraId="1404A8FA" w14:textId="77777777">
        <w:trPr>
          <w:tblCellSpacing w:w="15" w:type="dxa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116F68E" w14:textId="77777777" w:rsidR="001F67F8" w:rsidRDefault="00000000">
            <w:pPr>
              <w:rPr>
                <w:rFonts w:ascii="微软雅黑" w:eastAsia="微软雅黑" w:hAnsi="微软雅黑" w:cs="微软雅黑" w:hint="eastAsia"/>
                <w:color w:val="000000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</w:rPr>
              <w:t>外部增强</w:t>
            </w:r>
          </w:p>
        </w:tc>
        <w:tc>
          <w:tcPr>
            <w:tcW w:w="2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3589917" w14:textId="77777777" w:rsidR="001F67F8" w:rsidRDefault="00000000">
            <w:pPr>
              <w:rPr>
                <w:rFonts w:ascii="微软雅黑" w:eastAsia="微软雅黑" w:hAnsi="微软雅黑" w:cs="微软雅黑" w:hint="eastAsia"/>
                <w:color w:val="000000"/>
              </w:rPr>
            </w:pPr>
            <w:proofErr w:type="spellStart"/>
            <w:r>
              <w:rPr>
                <w:rFonts w:ascii="微软雅黑" w:eastAsia="微软雅黑" w:hAnsi="微软雅黑" w:cs="微软雅黑" w:hint="eastAsia"/>
                <w:color w:val="000000"/>
              </w:rPr>
              <w:t>Refinery_Profit</w:t>
            </w:r>
            <w:proofErr w:type="spellEnd"/>
          </w:p>
        </w:tc>
        <w:tc>
          <w:tcPr>
            <w:tcW w:w="45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E8EC7DB" w14:textId="77777777" w:rsidR="001F67F8" w:rsidRDefault="00000000">
            <w:pPr>
              <w:rPr>
                <w:rFonts w:ascii="微软雅黑" w:eastAsia="微软雅黑" w:hAnsi="微软雅黑" w:cs="微软雅黑" w:hint="eastAsia"/>
                <w:color w:val="000000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</w:rPr>
              <w:t>(关键补入) 反映炼厂加工端对原油的实际吸纳能力。</w:t>
            </w:r>
          </w:p>
        </w:tc>
      </w:tr>
      <w:tr w:rsidR="001F67F8" w14:paraId="49B415C9" w14:textId="77777777">
        <w:trPr>
          <w:tblCellSpacing w:w="15" w:type="dxa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90F8DFF" w14:textId="77777777" w:rsidR="001F67F8" w:rsidRDefault="00000000">
            <w:pPr>
              <w:rPr>
                <w:rFonts w:ascii="微软雅黑" w:eastAsia="微软雅黑" w:hAnsi="微软雅黑" w:cs="微软雅黑" w:hint="eastAsia"/>
                <w:color w:val="000000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</w:rPr>
              <w:t>需求动能</w:t>
            </w:r>
          </w:p>
        </w:tc>
        <w:tc>
          <w:tcPr>
            <w:tcW w:w="2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068D6EF" w14:textId="77777777" w:rsidR="001F67F8" w:rsidRDefault="00000000">
            <w:pPr>
              <w:rPr>
                <w:rFonts w:ascii="微软雅黑" w:eastAsia="微软雅黑" w:hAnsi="微软雅黑" w:cs="微软雅黑" w:hint="eastAsia"/>
                <w:color w:val="000000"/>
              </w:rPr>
            </w:pPr>
            <w:proofErr w:type="spellStart"/>
            <w:r>
              <w:rPr>
                <w:rFonts w:ascii="微软雅黑" w:eastAsia="微软雅黑" w:hAnsi="微软雅黑" w:cs="微软雅黑" w:hint="eastAsia"/>
                <w:color w:val="000000"/>
              </w:rPr>
              <w:t>Oil_Consum_Mom</w:t>
            </w:r>
            <w:proofErr w:type="spellEnd"/>
          </w:p>
        </w:tc>
        <w:tc>
          <w:tcPr>
            <w:tcW w:w="45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3FC2D28" w14:textId="77777777" w:rsidR="001F67F8" w:rsidRDefault="00000000">
            <w:pPr>
              <w:rPr>
                <w:rFonts w:ascii="微软雅黑" w:eastAsia="微软雅黑" w:hAnsi="微软雅黑" w:cs="微软雅黑" w:hint="eastAsia"/>
                <w:color w:val="000000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</w:rPr>
              <w:t>(年度修正) 全球石油消耗的长期动能趋势投影。</w:t>
            </w:r>
          </w:p>
        </w:tc>
      </w:tr>
    </w:tbl>
    <w:p w14:paraId="0B4B0E06" w14:textId="77777777" w:rsidR="001F67F8" w:rsidRDefault="001F67F8">
      <w:pPr>
        <w:rPr>
          <w:rFonts w:ascii="微软雅黑" w:eastAsia="微软雅黑" w:hAnsi="微软雅黑" w:cs="微软雅黑" w:hint="eastAsia"/>
        </w:rPr>
      </w:pPr>
    </w:p>
    <w:sectPr w:rsidR="001F67F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43D34456"/>
    <w:rsid w:val="001F67F8"/>
    <w:rsid w:val="007A2374"/>
    <w:rsid w:val="00FD1AF8"/>
    <w:rsid w:val="43D34456"/>
    <w:rsid w:val="65A73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ABFBECFE-3A8E-443A-8773-B03240DE99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semiHidden/>
    <w:unhideWhenUsed/>
    <w:qFormat/>
    <w:pPr>
      <w:spacing w:beforeAutospacing="1" w:afterAutospacing="1"/>
      <w:jc w:val="left"/>
      <w:outlineLvl w:val="1"/>
    </w:pPr>
    <w:rPr>
      <w:rFonts w:ascii="宋体" w:eastAsia="宋体" w:hAnsi="宋体" w:cs="Times New Roman" w:hint="eastAsia"/>
      <w:b/>
      <w:bCs/>
      <w:kern w:val="0"/>
      <w:sz w:val="36"/>
      <w:szCs w:val="36"/>
    </w:rPr>
  </w:style>
  <w:style w:type="paragraph" w:styleId="3">
    <w:name w:val="heading 3"/>
    <w:basedOn w:val="a"/>
    <w:next w:val="a"/>
    <w:semiHidden/>
    <w:unhideWhenUsed/>
    <w:qFormat/>
    <w:pPr>
      <w:spacing w:beforeAutospacing="1" w:afterAutospacing="1"/>
      <w:jc w:val="left"/>
      <w:outlineLvl w:val="2"/>
    </w:pPr>
    <w:rPr>
      <w:rFonts w:ascii="宋体" w:eastAsia="宋体" w:hAnsi="宋体" w:cs="Times New Roman" w:hint="eastAsia"/>
      <w:b/>
      <w:bCs/>
      <w:kern w:val="0"/>
      <w:sz w:val="27"/>
      <w:szCs w:val="27"/>
    </w:rPr>
  </w:style>
  <w:style w:type="paragraph" w:styleId="4">
    <w:name w:val="heading 4"/>
    <w:basedOn w:val="a"/>
    <w:next w:val="a"/>
    <w:semiHidden/>
    <w:unhideWhenUsed/>
    <w:qFormat/>
    <w:pPr>
      <w:spacing w:beforeAutospacing="1" w:afterAutospacing="1"/>
      <w:jc w:val="left"/>
      <w:outlineLvl w:val="3"/>
    </w:pPr>
    <w:rPr>
      <w:rFonts w:ascii="宋体" w:eastAsia="宋体" w:hAnsi="宋体" w:cs="Times New Roman" w:hint="eastAsia"/>
      <w:b/>
      <w:bCs/>
      <w:kern w:val="0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a4">
    <w:name w:val="Strong"/>
    <w:basedOn w:val="a0"/>
    <w:qFormat/>
    <w:rPr>
      <w:b/>
    </w:rPr>
  </w:style>
  <w:style w:type="character" w:styleId="HTML">
    <w:name w:val="HTML Code"/>
    <w:basedOn w:val="a0"/>
    <w:rPr>
      <w:rFonts w:ascii="Courier New" w:hAnsi="Courier New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386</Words>
  <Characters>651</Characters>
  <Application>Microsoft Office Word</Application>
  <DocSecurity>0</DocSecurity>
  <Lines>32</Lines>
  <Paragraphs>39</Paragraphs>
  <ScaleCrop>false</ScaleCrop>
  <Company/>
  <LinksUpToDate>false</LinksUpToDate>
  <CharactersWithSpaces>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赵心然</dc:creator>
  <cp:lastModifiedBy>yihang cai</cp:lastModifiedBy>
  <cp:revision>2</cp:revision>
  <dcterms:created xsi:type="dcterms:W3CDTF">2026-02-04T08:04:00Z</dcterms:created>
  <dcterms:modified xsi:type="dcterms:W3CDTF">2026-02-04T08:04:00Z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2052-12.1.0.23539</vt:lpwstr>
  </property>
  <property fmtid="{D5CDD505-2E9C-101B-9397-08002B2CF9AE}" pid="3" name="ICV">
    <vt:lpwstr>359DE74EF97145F6A264E71695930D69_11</vt:lpwstr>
  </property>
  <property fmtid="{D5CDD505-2E9C-101B-9397-08002B2CF9AE}" pid="4" name="KSOTemplateDocerSaveRecord">
    <vt:lpwstr>eyJoZGlkIjoiNDU0OTJmYWI4MTNlM2QwZDk0MzBhMTBkODEwNTQwNzAiLCJ1c2VySWQiOiIxNjk0MDA3NjY0In0=</vt:lpwstr>
  </property>
</Properties>
</file>