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402" w:after="0"/>
      </w:pPr>
    </w:p>
    <w:p>
      <w:pPr>
        <w:spacing w:before="0" w:after="240" w:line="360" w:lineRule="auto"/>
        <w:jc w:val="center"/>
      </w:pPr>
      <w:r>
        <w:rPr>
          <w:rFonts w:eastAsia="微软雅黑"/>
          <w:b/>
          <w:color w:val="000000"/>
          <w:sz w:val="56"/>
        </w:rPr>
        <w:t>中国城市轨道交通装备产业竞争力研究报告</w:t>
      </w:r>
    </w:p>
    <w:p>
      <w:pPr>
        <w:spacing w:before="0" w:after="480"/>
        <w:jc w:val="center"/>
      </w:pPr>
      <w:r>
        <w:rPr>
          <w:rFonts w:eastAsia="微软雅黑"/>
          <w:b w:val="0"/>
          <w:color w:val="000000"/>
          <w:sz w:val="28"/>
        </w:rPr>
        <w:t>整车制造、信号系统与运维服务三大环节分析</w:t>
      </w:r>
    </w:p>
    <w:p>
      <w:pPr>
        <w:spacing w:before="0" w:after="720"/>
        <w:jc w:val="center"/>
      </w:pPr>
      <w:r>
        <w:rPr>
          <w:rFonts w:eastAsia="微软雅黑"/>
          <w:b w:val="0"/>
          <w:color w:val="000000"/>
          <w:sz w:val="32"/>
        </w:rPr>
        <w:t>行业研究报告</w:t>
      </w:r>
    </w:p>
    <w:p>
      <w:pPr>
        <w:spacing w:before="240" w:after="240"/>
        <w:ind w:left="2917" w:right="2917"/>
        <w:jc w:val="center"/>
        <w:pBdr>
          <w:bottom w:val="single" w:sz="8" w:space="1" w:color="000000"/>
        </w:pBdr>
      </w:pPr>
    </w:p>
    <w:p>
      <w:pPr>
        <w:spacing w:before="0" w:after="120"/>
        <w:jc w:val="center"/>
      </w:pPr>
      <w:r>
        <w:rPr>
          <w:rFonts w:eastAsia="微软雅黑"/>
          <w:b/>
          <w:color w:val="000000"/>
          <w:sz w:val="28"/>
        </w:rPr>
        <w:t>轨道观察研究院</w:t>
      </w:r>
    </w:p>
    <w:p>
      <w:pPr>
        <w:spacing w:before="0" w:after="0"/>
        <w:jc w:val="center"/>
      </w:pPr>
      <w:r>
        <w:rPr>
          <w:rFonts w:eastAsia="微软雅黑"/>
          <w:b w:val="0"/>
          <w:color w:val="000000"/>
          <w:sz w:val="22"/>
        </w:rPr>
        <w:t>V2.3 | 2026年6月</w:t>
      </w:r>
    </w:p>
    <w:p>
      <w:pPr>
        <w:sectPr>
          <w:pgSz w:w="11906" w:h="16838"/>
          <w:pgMar w:top="1440" w:right="1440" w:bottom="1440" w:left="1797" w:header="720" w:footer="720" w:gutter="0"/>
          <w:cols w:space="720"/>
          <w:docGrid w:linePitch="360"/>
        </w:sectPr>
      </w:pPr>
    </w:p>
    <w:p>
      <w:pPr>
        <w:pStyle w:val="Heading2"/>
      </w:pPr>
      <w:r>
        <w:t>摘要</w:t>
      </w:r>
    </w:p>
    <w:p>
      <w:pPr>
        <w:pStyle w:val="BodyText"/>
      </w:pPr>
      <w:r>
        <w:t>中国城市轨道交通装备产业经过十余年快速发展，已形成较为完整的产业链体系，整车制造环节集中度不断提升。在信号系统、牵引电机等核心子系统领域，国内企业通过自主研发与国际合作，逐步掌握关键技术，市场份额持续扩大。同时，</w:t>
      </w:r>
      <w:r>
        <w:rPr>
          <w:b/>
        </w:rPr>
        <w:t>运维服务作为生命周期增值环节</w:t>
      </w:r>
      <w:r>
        <w:t>，正成为产业竞争的新焦点，驱动企业商业模式创新。</w:t>
      </w:r>
    </w:p>
    <w:p>
      <w:pPr>
        <w:pStyle w:val="BodyText"/>
      </w:pPr>
      <w:r>
        <w:t>当前产业格局初步成形。</w:t>
      </w:r>
    </w:p>
    <w:p>
      <w:r>
        <w:br w:type="page"/>
      </w:r>
    </w:p>
    <w:p>
      <w:pPr>
        <w:sectPr>
          <w:headerReference w:type="default" r:id="rId12"/>
          <w:footerReference w:type="default" r:id="rId13"/>
          <w:pgSz w:w="11906" w:h="16838"/>
          <w:pgMar w:top="1440" w:right="1440" w:bottom="1440" w:left="1797" w:header="720" w:footer="720" w:gutter="0"/>
          <w:cols w:space="720"/>
          <w:docGrid w:linePitch="360"/>
          <w:pgNumType w:fmt="lowerRoman" w:start="1"/>
        </w:sectPr>
      </w:pPr>
    </w:p>
    <w:p>
      <w:pPr>
        <w:pStyle w:val="TOCHeading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rPr>
          <w:rFonts w:eastAsia="宋体"/>
          <w:sz w:val="18"/>
          <w:color w:val="999999"/>
        </w:rPr>
        <w:t>（打开文档后，右键此处选择“更新域”或按 F9 键更新目录；WPS 用户：右键→更新域）</w:t>
      </w:r>
    </w:p>
    <w:p>
      <w:pPr>
        <w:sectPr>
          <w:pgSz w:w="11906" w:h="16838"/>
          <w:pgMar w:top="1440" w:right="1440" w:bottom="1440" w:left="1797" w:header="720" w:footer="720" w:gutter="0"/>
          <w:cols w:space="720"/>
          <w:docGrid w:linePitch="360"/>
          <w:pgNumType w:fmt="lowerRoman"/>
        </w:sectPr>
      </w:pPr>
    </w:p>
    <w:p>
      <w:pPr>
        <w:pStyle w:val="Heading1"/>
      </w:pPr>
      <w:r>
        <w:t>第一章 产业概述</w:t>
      </w:r>
    </w:p>
    <w:p>
      <w:pPr>
        <w:pStyle w:val="BodyText"/>
      </w:pPr>
      <w:r>
        <w:t>城市轨道交通装备是支撑轨道交通系统运营的重要产业，涵盖整车设计制造、关键零部件供应、信号控制系统、运维技术服务等多个价值链环节。在国家"轨道交通装备产业升级行动计划"推动下，产业集聚效应不断显现，技术自主化程度大幅提升。</w:t>
      </w:r>
    </w:p>
    <w:p>
      <w:pPr>
        <w:pStyle w:val="Heading2"/>
      </w:pPr>
      <w:r>
        <w:t>1.1 发展历程</w:t>
      </w:r>
    </w:p>
    <w:p>
      <w:pPr>
        <w:pStyle w:val="BodyText"/>
      </w:pPr>
      <w:r>
        <w:t>中国城市轨道交通装备产业起步于 20 世纪 90 年代末，初期主要依赖引进国外整车与零部件技术。自 2008 年北京奥运会后，国家将轨道交通装备纳入战略新兴产业重点支持范围，产业实现了从代理制造向自主设计的跨越。2015 年至今，新一代城际动车组、自动无人驾驶列车等新型装备投入商用，产业竞争力进入国际先进行列。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-城际动车组谱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igure"/>
      </w:pPr>
      <w:bookmarkStart w:id="1" w:name="fig_1_1"/>
      <w:r>
        <w:t>图1-1 城际动车组产品谱系图</w:t>
      </w:r>
      <w:bookmarkEnd w:id="1"/>
    </w:p>
    <w:p>
      <w:pPr>
        <w:pStyle w:val="Heading2"/>
      </w:pPr>
      <w:r>
        <w:t>1.2 产业链构成</w:t>
      </w:r>
    </w:p>
    <w:p>
      <w:pPr>
        <w:pStyle w:val="BodyText"/>
      </w:pPr>
      <w:r>
        <w:t>产业链分为上游基础零部件供应、中游整车制造集成、下游运维与技术服务三个主要环节。上游集中度最高，由数家全球领先企业主导；中游集成企业竞争激烈但寡头特征明显；下游服务市场则呈现高度分散状态，存在整合机会。见表1-1。</w:t>
      </w:r>
    </w:p>
    <w:p>
      <w:pPr>
        <w:pStyle w:val="BodyText"/>
      </w:pPr>
      <w:r>
        <w:rPr>
          <w:b/>
        </w:rPr>
        <w:t>表1-1 产业链上中下游环节对比表</w:t>
      </w:r>
    </w:p>
    <w:p>
      <w:pPr>
        <w:pStyle w:val="CaptionTable"/>
      </w:pPr>
      <w:bookmarkStart w:id="0" w:name="tbl_1_1"/>
      <w:bookmarkEnd w:id="0"/>
      <w:r>
        <w:t>表1-1 产业链上中下游环节对比表</w:t>
      </w:r>
    </w:p>
    <w:tbl>
      <w:tblPr>
        <w:tblW w:w="4500" w:type="pct50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890"/>
        <w:gridCol w:w="2890"/>
        <w:gridCol w:w="2890"/>
      </w:tblGrid>
      <w:tr>
        <w:trPr>
          <w:tblHeader w:val="true"/>
        </w:trPr>
        <w:tc>
          <w:tcPr>
            <w:tcW w:type="dxa" w:w="2890"/>
            <w:tcBorders>
              <w:bottom w:val="single" w:sz="8" w:space="0" w:color="000000"/>
            </w:tcBorders>
          </w:tcPr>
          <w:p>
            <w:pPr>
              <w:pStyle w:val="TableHeader"/>
            </w:pPr>
            <w:r>
              <w:rPr>
                <w:rFonts w:ascii="Times New Roman" w:hAnsi="Times New Roman" w:eastAsia="微软雅黑"/>
                <w:b/>
                <w:sz w:val="20"/>
              </w:rPr>
              <w:t>环节</w:t>
            </w:r>
          </w:p>
        </w:tc>
        <w:tc>
          <w:tcPr>
            <w:tcW w:type="dxa" w:w="2890"/>
            <w:tcBorders>
              <w:bottom w:val="single" w:sz="8" w:space="0" w:color="000000"/>
            </w:tcBorders>
          </w:tcPr>
          <w:p>
            <w:pPr>
              <w:pStyle w:val="TableHeader"/>
            </w:pPr>
            <w:r>
              <w:rPr>
                <w:rFonts w:ascii="Times New Roman" w:hAnsi="Times New Roman" w:eastAsia="微软雅黑"/>
                <w:b/>
                <w:sz w:val="20"/>
              </w:rPr>
              <w:t>代表产品</w:t>
            </w:r>
          </w:p>
        </w:tc>
        <w:tc>
          <w:tcPr>
            <w:tcW w:type="dxa" w:w="2890"/>
            <w:tcBorders>
              <w:bottom w:val="single" w:sz="8" w:space="0" w:color="000000"/>
            </w:tcBorders>
          </w:tcPr>
          <w:p>
            <w:pPr>
              <w:pStyle w:val="TableHeader"/>
            </w:pPr>
            <w:r>
              <w:rPr>
                <w:rFonts w:ascii="Times New Roman" w:hAnsi="Times New Roman" w:eastAsia="微软雅黑"/>
                <w:b/>
                <w:sz w:val="20"/>
              </w:rPr>
              <w:t>竞争格局</w:t>
            </w:r>
          </w:p>
        </w:tc>
      </w:tr>
      <w:tr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上游</w:t>
            </w:r>
          </w:p>
        </w:tc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牵引电机、制动系统</w:t>
            </w:r>
          </w:p>
        </w:tc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集中度高</w:t>
            </w:r>
          </w:p>
        </w:tc>
      </w:tr>
      <w:tr>
        <w:tc>
          <w:tcPr>
            <w:tcW w:type="dxa" w:w="2890"/>
            <w:shd w:val="clear" w:color="auto" w:fill="F2F2F2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中游</w:t>
            </w:r>
          </w:p>
        </w:tc>
        <w:tc>
          <w:tcPr>
            <w:tcW w:type="dxa" w:w="2890"/>
            <w:shd w:val="clear" w:color="auto" w:fill="F2F2F2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整车制造</w:t>
            </w:r>
          </w:p>
        </w:tc>
        <w:tc>
          <w:tcPr>
            <w:tcW w:type="dxa" w:w="2890"/>
            <w:shd w:val="clear" w:color="auto" w:fill="F2F2F2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双寡头</w:t>
            </w:r>
          </w:p>
        </w:tc>
      </w:tr>
      <w:tr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下游</w:t>
            </w:r>
          </w:p>
        </w:tc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运维服务</w:t>
            </w:r>
          </w:p>
        </w:tc>
        <w:tc>
          <w:tcPr>
            <w:tcW w:type="dxa" w:w="2890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分散</w:t>
            </w:r>
          </w:p>
        </w:tc>
      </w:tr>
    </w:tbl>
    <w:p>
      <w:pPr>
        <w:pStyle w:val="TableSource"/>
      </w:pPr>
      <w:r>
        <w:t>数据来源：</w:t>
      </w:r>
      <w:r>
        <w:t>数据来源：行业协会年度统计公报及公开招标数据整理。</w:t>
      </w:r>
    </w:p>
    <w:p>
      <w:pPr>
        <w:pStyle w:val="BodyText"/>
      </w:pPr>
      <w:r>
        <w:rPr>
          <w:i/>
        </w:rPr>
        <w:t>数据来源：行业协会年度统计公报及公开招标数据整理。</w:t>
      </w:r>
    </w:p>
    <w:p>
      <w:r>
        <w:br w:type="page"/>
      </w:r>
    </w:p>
    <w:p>
      <w:pPr>
        <w:pStyle w:val="Heading1"/>
      </w:pPr>
      <w:r>
        <w:t>第二章 市场与竞争</w:t>
      </w:r>
    </w:p>
    <w:p>
      <w:pPr>
        <w:pStyle w:val="BodyText"/>
      </w:pPr>
      <w:r>
        <w:t>城市轨道交通信号系统作为列车运行安全的关键控制系统，其采购和升级周期直接影响整个产业的市场规模与增长动能。过去五年，国内信号系统供应商通过技术引进、自主创新与国际竞争参与，逐步提升市场占有率，产业格局发生显著变化。见图2-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-信号系统市场份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igure"/>
      </w:pPr>
      <w:bookmarkStart w:id="2" w:name="fig_2_1"/>
      <w:r>
        <w:t>图2-1 城市轨道信号系统市场份额分布</w:t>
      </w:r>
      <w:bookmarkEnd w:id="2"/>
    </w:p>
    <w:p>
      <w:pPr>
        <w:pStyle w:val="Heading2"/>
      </w:pPr>
      <w:r>
        <w:t>2.1 竞争格局分析</w:t>
      </w:r>
    </w:p>
    <w:p>
      <w:pPr>
        <w:pStyle w:val="BodyText"/>
      </w:pPr>
      <w:r>
        <w:t>国际信号系统供应商（如西门子、阿尔斯通等）曾长期垄断中国市场，但近年来国内龙头企业通过技术合作、消化吸收再创新等路径，成功开发出达到国际水平的 CBTC 系统。当前市场格局已演变为国际厂商与民族品牌并存的多极化竞争态势，为国内产业发展释放了空间。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第三章 国际化与展望</w:t>
      </w:r>
    </w:p>
    <w:p>
      <w:pPr>
        <w:pStyle w:val="BodyText"/>
      </w:pPr>
      <w:r>
        <w:t>中国城市轨道交通装备企业国际竞争力不断增强，近年来在东南亚、非洲、中东等地区赢得多个重大项目订单。这不仅体现了产业技术进步，也反映了"一带一路"框架下中国装备出海战略的深入推进。见图3-1。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1-出海项目分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igure"/>
      </w:pPr>
      <w:bookmarkStart w:id="3" w:name="fig_3_1"/>
      <w:r>
        <w:t>图3-1 海外出海项目地理分布</w:t>
      </w:r>
      <w:bookmarkEnd w:id="3"/>
    </w:p>
    <w:p>
      <w:pPr>
        <w:pStyle w:val="BodyText"/>
      </w:pPr>
      <w:r>
        <w:t>展望未来，产业需要在以下领域实现突破：一是加大研发投入，掌握超高速、无人驾驶等新一代装备的核心技术；二是</w:t>
      </w:r>
      <w:r>
        <w:rPr>
          <w:i/>
        </w:rPr>
        <w:t>建立全球化供应链体系</w:t>
      </w:r>
      <w:r>
        <w:t>，降低采购成本与交付风险；三是强化售后服务能力，形成全生命周期的竞争优势。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附录A 术语对照</w:t>
      </w:r>
    </w:p>
    <w:tbl>
      <w:tblPr>
        <w:tblW w:w="4500" w:type="pct50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4334"/>
        <w:gridCol w:w="4334"/>
      </w:tblGrid>
      <w:tr>
        <w:trPr>
          <w:tblHeader w:val="true"/>
        </w:trPr>
        <w:tc>
          <w:tcPr>
            <w:tcW w:type="dxa" w:w="4334"/>
            <w:tcBorders>
              <w:bottom w:val="single" w:sz="8" w:space="0" w:color="000000"/>
            </w:tcBorders>
          </w:tcPr>
          <w:p>
            <w:pPr>
              <w:pStyle w:val="TableHeader"/>
            </w:pPr>
            <w:r>
              <w:rPr>
                <w:rFonts w:ascii="Times New Roman" w:hAnsi="Times New Roman" w:eastAsia="微软雅黑"/>
                <w:b/>
                <w:sz w:val="20"/>
              </w:rPr>
              <w:t>术语</w:t>
            </w:r>
          </w:p>
        </w:tc>
        <w:tc>
          <w:tcPr>
            <w:tcW w:type="dxa" w:w="4334"/>
            <w:tcBorders>
              <w:bottom w:val="single" w:sz="8" w:space="0" w:color="000000"/>
            </w:tcBorders>
          </w:tcPr>
          <w:p>
            <w:pPr>
              <w:pStyle w:val="TableHeader"/>
            </w:pPr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</w:tr>
      <w:tr>
        <w:tc>
          <w:tcPr>
            <w:tcW w:type="dxa" w:w="4334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CBTC</w:t>
            </w:r>
          </w:p>
        </w:tc>
        <w:tc>
          <w:tcPr>
            <w:tcW w:type="dxa" w:w="4334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基于通信的列车控制系统</w:t>
            </w:r>
          </w:p>
        </w:tc>
      </w:tr>
      <w:tr>
        <w:tc>
          <w:tcPr>
            <w:tcW w:type="dxa" w:w="4334"/>
            <w:shd w:val="clear" w:color="auto" w:fill="F2F2F2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EMU</w:t>
            </w:r>
          </w:p>
        </w:tc>
        <w:tc>
          <w:tcPr>
            <w:tcW w:type="dxa" w:w="4334"/>
            <w:shd w:val="clear" w:color="auto" w:fill="F2F2F2"/>
          </w:tcPr>
          <w:p>
            <w:pPr>
              <w:pStyle w:val="TableBody"/>
            </w:pPr>
            <w:r>
              <w:rPr>
                <w:rFonts w:ascii="Times New Roman" w:hAnsi="Times New Roman" w:eastAsia="宋体"/>
                <w:b w:val="0"/>
                <w:sz w:val="21"/>
              </w:rPr>
              <w:t>电动车组</w:t>
            </w:r>
          </w:p>
        </w:tc>
      </w:tr>
    </w:tbl>
    <w:p>
      <w:r>
        <w:br w:type="page"/>
      </w:r>
    </w:p>
    <w:p>
      <w:pPr>
        <w:pStyle w:val="Heading1"/>
      </w:pPr>
      <w:r>
        <w:t>附录B 数据说明</w:t>
      </w:r>
    </w:p>
    <w:p>
      <w:pPr>
        <w:pStyle w:val="BodyText"/>
      </w:pPr>
      <w:r>
        <w:t>本报告所引用的市场规模数据来自行业协会 2022-2025 年度的统计公报、上市公司年度报告、公开招标信息等多个来源，经过口径统一和数据验证后形成。所有数字保留为万元级精度，并基于人民币计价。当涉及国际对标时，采用当年平均汇率转换。产业链各环节的边界划分参照国家产业分类标准（GB/T 4754-2017）。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440" w:right="1440" w:bottom="1440" w:left="179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 xml:space="preserve"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 xml:space="preserve"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00000"/>
      </w:pBdr>
    </w:pPr>
    <w:r>
      <w:rPr>
        <w:sz w:val="18"/>
      </w:rPr>
      <w:t>中国城市轨道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left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i w:val="0"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 w:line="240" w:lineRule="auto"/>
      <w:jc w:val="left"/>
      <w:outlineLvl w:val="4"/>
    </w:pPr>
    <w:rPr>
      <w:rFonts w:asciiTheme="majorHAnsi" w:eastAsiaTheme="majorEastAsia" w:hAnsiTheme="majorHAnsi" w:cstheme="majorBidi" w:ascii="Times New Roman" w:hAnsi="Times New Roman" w:eastAsia="微软雅黑"/>
      <w:b/>
      <w:i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20" w:firstLineChars="200"/>
      <w:jc w:val="both"/>
    </w:pPr>
    <w:rPr>
      <w:rFonts w:ascii="Times New Roman" w:hAnsi="Times New Roman" w:eastAsia="宋体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  <w:jc w:val="left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  <w:jc w:val="left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120" w:after="120"/>
      <w:ind w:left="567"/>
      <w:jc w:val="left"/>
      <w:pBdr>
        <w:left w:val="single" w:sz="8" w:space="4" w:color="BFBFBF"/>
      </w:pBdr>
    </w:pPr>
    <w:rPr>
      <w:rFonts w:ascii="Times New Roman" w:hAnsi="Times New Roman" w:eastAsia="宋体"/>
      <w:b w:val="0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before="0" w:after="480"/>
      <w:jc w:val="center"/>
      <w:outlineLvl w:val="9"/>
    </w:pPr>
    <w:rPr>
      <w:rFonts w:ascii="Times New Roman" w:hAnsi="Times New Roman" w:eastAsia="微软雅黑"/>
      <w:b/>
      <w:i w:val="0"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Figure">
    <w:name w:val="Caption Figure"/>
    <w:pPr>
      <w:spacing w:line="240" w:lineRule="auto" w:before="120" w:after="0"/>
      <w:jc w:val="center"/>
    </w:pPr>
    <w:rPr>
      <w:rFonts w:ascii="Times New Roman" w:hAnsi="Times New Roman" w:eastAsia="宋体"/>
      <w:b w:val="0"/>
      <w:i w:val="0"/>
      <w:color w:val="555555"/>
      <w:sz w:val="18"/>
    </w:rPr>
  </w:style>
  <w:style w:type="paragraph" w:customStyle="1" w:styleId="CaptionTable">
    <w:name w:val="Caption Table"/>
    <w:pPr>
      <w:spacing w:line="240" w:lineRule="auto" w:before="0" w:after="120"/>
      <w:jc w:val="center"/>
    </w:pPr>
    <w:rPr>
      <w:rFonts w:ascii="Times New Roman" w:hAnsi="Times New Roman" w:eastAsia="宋体"/>
      <w:b w:val="0"/>
      <w:i w:val="0"/>
      <w:color w:val="555555"/>
      <w:sz w:val="18"/>
    </w:rPr>
  </w:style>
  <w:style w:type="paragraph" w:customStyle="1" w:styleId="TableSource">
    <w:name w:val="Table Source"/>
    <w:pPr>
      <w:spacing w:line="240" w:lineRule="auto" w:before="120" w:after="0"/>
      <w:jc w:val="left"/>
    </w:pPr>
    <w:rPr>
      <w:rFonts w:ascii="Times New Roman" w:hAnsi="Times New Roman" w:eastAsia="宋体"/>
      <w:b w:val="0"/>
      <w:i/>
      <w:color w:val="555555"/>
      <w:sz w:val="18"/>
    </w:rPr>
  </w:style>
  <w:style w:type="paragraph" w:customStyle="1" w:styleId="HeaderText">
    <w:name w:val="Header Text"/>
    <w:pPr>
      <w:spacing w:line="240" w:lineRule="auto" w:before="0" w:after="0"/>
      <w:jc w:val="right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FooterText">
    <w:name w:val="Footer Text"/>
    <w:pPr>
      <w:spacing w:line="240" w:lineRule="auto" w:before="0" w:after="0"/>
      <w:jc w:val="center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TableHeader">
    <w:name w:val="Table Header"/>
    <w:pPr>
      <w:spacing w:line="240" w:lineRule="auto" w:before="0" w:after="0"/>
      <w:ind w:firstLine="0" w:left="0"/>
      <w:jc w:val="center"/>
    </w:pPr>
    <w:rPr>
      <w:rFonts w:ascii="Times New Roman" w:hAnsi="Times New Roman" w:eastAsia="微软雅黑"/>
      <w:b/>
      <w:i w:val="0"/>
      <w:color w:val="000000"/>
      <w:sz w:val="20"/>
    </w:rPr>
  </w:style>
  <w:style w:type="paragraph" w:customStyle="1" w:styleId="TableBody">
    <w:name w:val="Table Body"/>
    <w:pPr>
      <w:spacing w:line="240" w:lineRule="auto" w:before="0" w:after="0"/>
      <w:ind w:firstLine="0" w:left="0"/>
      <w:jc w:val="center"/>
    </w:pPr>
    <w:rPr>
      <w:rFonts w:ascii="Times New Roman" w:hAnsi="Times New Roman" w:eastAsia="宋体"/>
      <w:b w:val="0"/>
      <w:i w:val="0"/>
      <w:color w:val="000000"/>
      <w:sz w:val="21"/>
    </w:rPr>
  </w:style>
  <w:style w:type="paragraph" w:customStyle="1" w:styleId="BodyTextNoIndent">
    <w:name w:val="Body Text No Indent"/>
    <w:basedOn w:val="BodyText"/>
    <w:pPr>
      <w:ind w:firstLine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