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" w:hAnsi="仿宋" w:eastAsia="仿宋" w:cs="仿宋"/>
          <w:b/>
          <w:bCs/>
          <w:sz w:val="36"/>
          <w:szCs w:val="36"/>
        </w:rPr>
      </w:pPr>
    </w:p>
    <w:p>
      <w:pPr>
        <w:jc w:val="center"/>
        <w:rPr>
          <w:rFonts w:ascii="仿宋" w:hAnsi="仿宋" w:eastAsia="仿宋" w:cs="仿宋"/>
          <w:b/>
          <w:bCs/>
          <w:sz w:val="36"/>
          <w:szCs w:val="36"/>
        </w:rPr>
      </w:pPr>
    </w:p>
    <w:p>
      <w:pPr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</w:rPr>
        <w:t>开关柜局放在线监测解决方案</w:t>
      </w: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 xml:space="preserve"> </w:t>
      </w:r>
    </w:p>
    <w:p/>
    <w:p/>
    <w:p/>
    <w:p/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8415" cy="1777365"/>
            <wp:effectExtent l="0" t="0" r="0" b="0"/>
            <wp:docPr id="6" name="图片 6" descr="网关实物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网关实物图1"/>
                    <pic:cNvPicPr>
                      <a:picLocks noChangeAspect="1"/>
                    </pic:cNvPicPr>
                  </pic:nvPicPr>
                  <pic:blipFill>
                    <a:blip r:embed="rId4"/>
                    <a:srcRect l="5868" r="12325" b="24331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2335" cy="2172335"/>
            <wp:effectExtent l="0" t="0" r="18415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 用 前 请 详 细 阅 读 此 手 册</w:t>
      </w:r>
    </w:p>
    <w:p>
      <w:pPr>
        <w:jc w:val="center"/>
      </w:pPr>
      <w:r>
        <w:rPr>
          <w:rFonts w:hint="eastAsia"/>
        </w:rPr>
        <w:t>Please Read The Manual Carefully Prior To Use</w:t>
      </w:r>
    </w:p>
    <w:p>
      <w:r>
        <w:br w:type="page"/>
      </w:r>
    </w:p>
    <w:sdt>
      <w:sdtPr>
        <w:rPr>
          <w:rFonts w:ascii="宋体" w:hAnsi="宋体" w:eastAsia="宋体" w:cs="Times New Roman"/>
          <w:kern w:val="0"/>
          <w:sz w:val="20"/>
          <w:szCs w:val="20"/>
        </w:rPr>
        <w:id w:val="-79328416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0"/>
          <w:sz w:val="20"/>
          <w:szCs w:val="20"/>
        </w:rPr>
      </w:sdtEndPr>
      <w:sdtContent>
        <w:p>
          <w:pPr>
            <w:jc w:val="center"/>
          </w:pPr>
          <w:bookmarkStart w:id="0" w:name="_Toc10223_WPSOffice_Type3"/>
          <w:r>
            <w:rPr>
              <w:rFonts w:ascii="宋体" w:hAnsi="宋体" w:eastAsia="宋体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"_Toc24886_WPSOffice_Level1"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47478146"/>
              <w:placeholder>
                <w:docPart w:val="{83a0d301-3ad7-4e6e-b011-c3ca049d574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概述声明</w:t>
              </w:r>
            </w:sdtContent>
          </w:sdt>
          <w:r>
            <w:tab/>
          </w:r>
          <w:bookmarkStart w:id="1" w:name="_Toc24886_WPSOffice_Level1Page"/>
          <w:r>
            <w:t>3</w:t>
          </w:r>
          <w:bookmarkEnd w:id="1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"_Toc10223_WPSOffice_Level2"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715111832"/>
              <w:placeholder>
                <w:docPart w:val="{462e7afc-5553-473a-b438-7011aeb61df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1.1关于本说明书</w:t>
              </w:r>
            </w:sdtContent>
          </w:sdt>
          <w:r>
            <w:tab/>
          </w:r>
          <w:bookmarkStart w:id="2" w:name="_Toc10223_WPSOffice_Level2Page"/>
          <w:r>
            <w:t>3</w:t>
          </w:r>
          <w:bookmarkEnd w:id="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"_Toc28173_WPSOffice_Level2"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2070714037"/>
              <w:placeholder>
                <w:docPart w:val="{300d6afc-fa16-4427-9682-113cd4c7f94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1.2责任声明</w:t>
              </w:r>
            </w:sdtContent>
          </w:sdt>
          <w:r>
            <w:tab/>
          </w:r>
          <w:bookmarkStart w:id="3" w:name="_Toc28173_WPSOffice_Level2Page"/>
          <w:r>
            <w:t>3</w:t>
          </w:r>
          <w:bookmarkEnd w:id="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"_Toc10223_WPSOffice_Level1"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863211043"/>
              <w:placeholder>
                <w:docPart w:val="{3c959831-7faf-4234-a06b-2b8db6e7fde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简述标准</w:t>
              </w:r>
              <w:bookmarkStart w:id="32" w:name="_GoBack"/>
              <w:bookmarkEnd w:id="32"/>
            </w:sdtContent>
          </w:sdt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"_Toc3461_WPSOffice_Level2"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959633380"/>
              <w:placeholder>
                <w:docPart w:val="{903b0dc6-6cd0-4685-b420-d00657887ba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2.1注意事项</w:t>
              </w:r>
            </w:sdtContent>
          </w:sdt>
          <w:r>
            <w:tab/>
          </w:r>
          <w:bookmarkStart w:id="4" w:name="_Toc3461_WPSOffice_Level2Page"/>
          <w:r>
            <w:t>3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"_Toc23319_WPSOffice_Level2"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605409708"/>
              <w:placeholder>
                <w:docPart w:val="{f201d515-2b94-48fc-80cd-e8305ff001d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2.2应用领域</w:t>
              </w:r>
            </w:sdtContent>
          </w:sdt>
          <w:r>
            <w:tab/>
          </w:r>
          <w:bookmarkStart w:id="5" w:name="_Toc23319_WPSOffice_Level2Page"/>
          <w:r>
            <w:t>3</w:t>
          </w:r>
          <w:bookmarkEnd w:id="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"_Toc28173_WPSOffice_Level1"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066617125"/>
              <w:placeholder>
                <w:docPart w:val="{94808bd5-ceaa-4a81-a483-03a97730558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三、产品介绍</w:t>
              </w:r>
            </w:sdtContent>
          </w:sdt>
          <w:r>
            <w:tab/>
          </w:r>
          <w:bookmarkStart w:id="6" w:name="_Toc28173_WPSOffice_Level1Page"/>
          <w:r>
            <w:t>3</w:t>
          </w:r>
          <w:bookmarkEnd w:id="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"_Toc10785_WPSOffice_Level2"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430859820"/>
              <w:placeholder>
                <w:docPart w:val="{0d1d3f76-df3b-4bfa-b088-54d5ffe8bc0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3.1产品介绍</w:t>
              </w:r>
            </w:sdtContent>
          </w:sdt>
          <w:r>
            <w:tab/>
          </w:r>
          <w:bookmarkStart w:id="7" w:name="_Toc10785_WPSOffice_Level2Page"/>
          <w:r>
            <w:t>3</w:t>
          </w:r>
          <w:bookmarkEnd w:id="7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"_Toc8887_WPSOffice_Level2"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360166518"/>
              <w:placeholder>
                <w:docPart w:val="{1289a3e1-04d3-4dec-80b5-736e2a0e6a3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3.2监测原理</w:t>
              </w:r>
            </w:sdtContent>
          </w:sdt>
          <w:r>
            <w:tab/>
          </w:r>
          <w:bookmarkStart w:id="8" w:name="_Toc8887_WPSOffice_Level2Page"/>
          <w:r>
            <w:t>4</w:t>
          </w:r>
          <w:bookmarkEnd w:id="8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"_Toc10223_WPSOffice_Level3"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071421068"/>
              <w:placeholder>
                <w:docPart w:val="{c1310c1e-39ce-444c-9488-d278e73936b6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cs="宋体" w:asciiTheme="minorEastAsia" w:hAnsiTheme="minorEastAsia" w:eastAsiaTheme="minorEastAsia"/>
                </w:rPr>
                <w:t>3.2.1超声波监测</w:t>
              </w:r>
            </w:sdtContent>
          </w:sdt>
          <w:r>
            <w:tab/>
          </w:r>
          <w:bookmarkStart w:id="9" w:name="_Toc10223_WPSOffice_Level3Page"/>
          <w:r>
            <w:t>4</w:t>
          </w:r>
          <w:bookmarkEnd w:id="9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  <w:ind w:left="840"/>
          </w:pPr>
          <w:r>
            <w:fldChar w:fldCharType="begin"/>
          </w:r>
          <w:r>
            <w:instrText xml:space="preserve"> HYPERLINK \l "_Toc28173_WPSOffice_Level3"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676723610"/>
              <w:placeholder>
                <w:docPart w:val="{62825087-52ab-436a-9314-5d64fdba248b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cs="宋体" w:asciiTheme="minorEastAsia" w:hAnsiTheme="minorEastAsia" w:eastAsiaTheme="minorEastAsia"/>
                </w:rPr>
                <w:t>3.2.2地电波监测</w:t>
              </w:r>
            </w:sdtContent>
          </w:sdt>
          <w:r>
            <w:tab/>
          </w:r>
          <w:bookmarkStart w:id="10" w:name="_Toc28173_WPSOffice_Level3Page"/>
          <w:r>
            <w:t>5</w:t>
          </w:r>
          <w:bookmarkEnd w:id="1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"_Toc8453_WPSOffice_Level2"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09327228"/>
              <w:placeholder>
                <w:docPart w:val="{7999bd62-1faf-4ede-b9fb-483472ed43e2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3.3产品功能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"_Toc25172_WPSOffice_Level2"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930778053"/>
              <w:placeholder>
                <w:docPart w:val="{960853e3-b9dc-48a8-bf66-6e75173c06d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3.4产品参数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  <w:ind w:left="420"/>
          </w:pPr>
          <w:r>
            <w:fldChar w:fldCharType="begin"/>
          </w:r>
          <w:r>
            <w:instrText xml:space="preserve"> HYPERLINK \l "_Toc19565_WPSOffice_Level2"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374679953"/>
              <w:placeholder>
                <w:docPart w:val="{eccee207-ded1-4fef-8f91-2e3e1f776fa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3.5组网方式</w:t>
              </w:r>
            </w:sdtContent>
          </w:sdt>
          <w:r>
            <w:tab/>
          </w:r>
          <w:bookmarkStart w:id="11" w:name="_Toc19565_WPSOffice_Level2Page"/>
          <w:r>
            <w:t>7</w:t>
          </w:r>
          <w:bookmarkEnd w:id="1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"_Toc3461_WPSOffice_Level1"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1353001241"/>
              <w:placeholder>
                <w:docPart w:val="{2800c0c4-d75a-4d0c-8e70-1c6493bab22e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四、APP介绍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"_Toc23319_WPSOffice_Level1"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448853864"/>
              <w:placeholder>
                <w:docPart w:val="{cf99a905-3cbe-4f41-ac31-b123df4a126a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五、 PC端介绍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"_Toc10785_WPSOffice_Level1"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208992830"/>
              <w:placeholder>
                <w:docPart w:val="{0af29267-91cc-4479-ae37-3534ff117ea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六、安装说明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"_Toc8887_WPSOffice_Level1"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1663699929"/>
              <w:placeholder>
                <w:docPart w:val="{31e8ef68-56ce-4102-a2fa-2deaebc3482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七、结构设计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"_Toc8453_WPSOffice_Level1"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  <w:id w:val="-497504653"/>
              <w:placeholder>
                <w:docPart w:val="{d7e81aee-c6e9-4302-bbd1-627eb99f2f1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八、装箱清单</w:t>
              </w:r>
            </w:sdtContent>
          </w:sdt>
          <w:r>
            <w:tab/>
          </w:r>
          <w:bookmarkStart w:id="12" w:name="_Toc8453_WPSOffice_Level1Page"/>
          <w:r>
            <w:t>10</w:t>
          </w:r>
          <w:bookmarkEnd w:id="12"/>
          <w:r>
            <w:fldChar w:fldCharType="end"/>
          </w:r>
        </w:p>
      </w:sdtContent>
    </w:sdt>
    <w:bookmarkEnd w:id="0"/>
    <w:p>
      <w:pPr>
        <w:numPr>
          <w:ilvl w:val="0"/>
          <w:numId w:val="1"/>
        </w:numPr>
        <w:spacing w:line="24" w:lineRule="atLeast"/>
        <w:rPr>
          <w:b/>
          <w:bCs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spacing w:line="24" w:lineRule="atLeast"/>
        <w:rPr>
          <w:b/>
          <w:bCs/>
          <w:sz w:val="32"/>
          <w:szCs w:val="32"/>
        </w:rPr>
      </w:pPr>
      <w:bookmarkStart w:id="13" w:name="_Toc24886_WPSOffice_Level1"/>
      <w:r>
        <w:rPr>
          <w:rFonts w:hint="eastAsia"/>
          <w:b/>
          <w:bCs/>
          <w:sz w:val="32"/>
          <w:szCs w:val="32"/>
        </w:rPr>
        <w:t>概述声明</w:t>
      </w:r>
      <w:bookmarkEnd w:id="13"/>
    </w:p>
    <w:p>
      <w:pPr>
        <w:spacing w:line="24" w:lineRule="atLeast"/>
        <w:rPr>
          <w:b/>
          <w:bCs/>
        </w:rPr>
      </w:pPr>
    </w:p>
    <w:p>
      <w:pPr>
        <w:spacing w:line="24" w:lineRule="atLeast"/>
        <w:rPr>
          <w:b/>
          <w:bCs/>
        </w:rPr>
      </w:pPr>
      <w:bookmarkStart w:id="14" w:name="_Toc10223_WPSOffice_Level2"/>
      <w:r>
        <w:rPr>
          <w:rFonts w:hint="eastAsia"/>
          <w:b/>
          <w:bCs/>
        </w:rPr>
        <w:t>1.1关于本说明书</w:t>
      </w:r>
      <w:bookmarkEnd w:id="14"/>
    </w:p>
    <w:p>
      <w:pPr>
        <w:spacing w:line="24" w:lineRule="atLeast"/>
        <w:ind w:firstLine="420" w:firstLineChars="200"/>
      </w:pPr>
      <w:r>
        <w:rPr>
          <w:rFonts w:hint="eastAsia"/>
        </w:rPr>
        <w:t>感谢您使用PD100局部放电监测终端，在您初次使用本终端前，请详细阅读使用说明书，有助于您熟练的使用本产品，本说明书中详细介绍了安全规范的操作要领以及使用流程。</w:t>
      </w:r>
    </w:p>
    <w:p>
      <w:pPr>
        <w:spacing w:line="24" w:lineRule="atLeast"/>
        <w:ind w:firstLine="420" w:firstLineChars="200"/>
      </w:pPr>
    </w:p>
    <w:p>
      <w:pPr>
        <w:spacing w:line="24" w:lineRule="atLeast"/>
        <w:rPr>
          <w:b/>
          <w:bCs/>
        </w:rPr>
      </w:pPr>
      <w:bookmarkStart w:id="15" w:name="_Toc28173_WPSOffice_Level2"/>
      <w:r>
        <w:rPr>
          <w:rFonts w:hint="eastAsia"/>
          <w:b/>
          <w:bCs/>
        </w:rPr>
        <w:t>1.2责任声明</w:t>
      </w:r>
      <w:bookmarkEnd w:id="15"/>
    </w:p>
    <w:p>
      <w:pPr>
        <w:spacing w:line="24" w:lineRule="atLeast"/>
        <w:ind w:firstLine="420" w:firstLineChars="200"/>
      </w:pPr>
      <w:r>
        <w:rPr>
          <w:rFonts w:hint="eastAsia"/>
        </w:rPr>
        <w:t>我公司保证每一台产品在出厂时主机、配件无任何质量问题，主机功能无任何缺陷。本产品质保期为一年，保修期从发货日开始计算。对保修期内的产品提供免费维修服务，并保证维修期不超过</w:t>
      </w:r>
      <w:r>
        <w:t>3</w:t>
      </w:r>
      <w:r>
        <w:rPr>
          <w:rFonts w:hint="eastAsia"/>
        </w:rPr>
        <w:t>0天，若用户在使用过程中由误用、拆卸、疏忽、意外、非正常操作造成的产品损坏，我公司将不提供任何免费维修服务。</w:t>
      </w:r>
    </w:p>
    <w:p>
      <w:pPr>
        <w:spacing w:line="24" w:lineRule="atLeast"/>
        <w:ind w:firstLine="420" w:firstLineChars="200"/>
      </w:pPr>
    </w:p>
    <w:p>
      <w:pPr>
        <w:spacing w:line="24" w:lineRule="atLeast"/>
        <w:ind w:firstLine="420" w:firstLineChars="200"/>
      </w:pPr>
      <w:r>
        <w:rPr>
          <w:rFonts w:hint="eastAsia"/>
        </w:rPr>
        <w:t>本声明包含我公司提供的所有维修内容，我公司不提供以其他方式明示或暗示的维修服务。同时我公司不对任何特殊的、间接的、偶然的损坏及数据丢失承担责任，不论是否会引起用户的经济、民事损失。本手册的使用权仅限于我公司的用户，未经公司的书面许可，严禁以任何形式复制、传递、分发和存储本文档中的任何内容。</w:t>
      </w:r>
    </w:p>
    <w:p>
      <w:pPr>
        <w:spacing w:line="24" w:lineRule="atLeast"/>
        <w:ind w:firstLine="420" w:firstLineChars="200"/>
      </w:pPr>
    </w:p>
    <w:p>
      <w:pPr>
        <w:rPr>
          <w:b/>
          <w:bCs/>
          <w:sz w:val="32"/>
          <w:szCs w:val="32"/>
        </w:rPr>
      </w:pPr>
      <w:bookmarkStart w:id="16" w:name="_Toc10223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numPr>
          <w:ilvl w:val="0"/>
          <w:numId w:val="1"/>
        </w:numPr>
        <w:spacing w:line="2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简述标准</w:t>
      </w:r>
      <w:bookmarkEnd w:id="16"/>
    </w:p>
    <w:p>
      <w:pPr>
        <w:spacing w:line="24" w:lineRule="atLeast"/>
        <w:rPr>
          <w:b/>
          <w:bCs/>
        </w:rPr>
      </w:pPr>
      <w:bookmarkStart w:id="17" w:name="_Toc3461_WPSOffice_Level2"/>
      <w:r>
        <w:rPr>
          <w:rFonts w:hint="eastAsia"/>
          <w:b/>
          <w:bCs/>
        </w:rPr>
        <w:t>2.1注意事项</w:t>
      </w:r>
      <w:bookmarkEnd w:id="17"/>
    </w:p>
    <w:p>
      <w:pPr>
        <w:spacing w:line="24" w:lineRule="atLeast"/>
        <w:rPr>
          <w:rFonts w:hint="eastAsia"/>
        </w:rPr>
      </w:pPr>
      <w:r>
        <w:rPr>
          <w:rFonts w:hint="eastAsia"/>
          <w:b/>
          <w:bCs/>
        </w:rPr>
        <w:t xml:space="preserve">  </w:t>
      </w:r>
      <w:r>
        <w:rPr>
          <w:b/>
          <w:bCs/>
        </w:rPr>
        <w:tab/>
      </w:r>
      <w:r>
        <w:rPr>
          <w:rFonts w:hint="eastAsia"/>
        </w:rPr>
        <w:t>PD100局放在线监测终端主要用于开关柜、环网柜等设备的绝缘状态监测与报警，并提供相应的数据查看及曲线分析等功能。</w:t>
      </w:r>
    </w:p>
    <w:p>
      <w:pPr>
        <w:spacing w:line="24" w:lineRule="atLeast"/>
        <w:rPr>
          <w:rFonts w:hint="eastAsia"/>
        </w:rPr>
      </w:pPr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使用本产品应注意以下条款：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使用环境：温度-</w:t>
      </w:r>
      <w:r>
        <w:t>30</w:t>
      </w:r>
      <w:r>
        <w:rPr>
          <w:rFonts w:hint="eastAsia"/>
        </w:rPr>
        <w:t>℃~</w:t>
      </w:r>
      <w:r>
        <w:t>70</w:t>
      </w:r>
      <w:r>
        <w:rPr>
          <w:rFonts w:hint="eastAsia"/>
        </w:rPr>
        <w:t>℃，相对湿度&lt;</w:t>
      </w:r>
      <w:r>
        <w:t>90</w:t>
      </w:r>
      <w:r>
        <w:rPr>
          <w:rFonts w:hint="eastAsia"/>
        </w:rPr>
        <w:t>%，室内使用。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远离易燃易爆危险品。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首次使用，请先充电。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如有液体与腐蚀性物质接触到仪器，应立即停止使用并关机。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设备不得自行拆卸，我公司将对自行拆卸后的产品不进行维修服务。</w:t>
      </w:r>
    </w:p>
    <w:p>
      <w:pPr>
        <w:spacing w:line="24" w:lineRule="atLeast"/>
        <w:rPr>
          <w:b/>
          <w:bCs/>
        </w:rPr>
      </w:pPr>
    </w:p>
    <w:p>
      <w:pPr>
        <w:spacing w:line="24" w:lineRule="atLeast"/>
        <w:rPr>
          <w:b/>
          <w:bCs/>
        </w:rPr>
      </w:pPr>
      <w:bookmarkStart w:id="18" w:name="_Toc23319_WPSOffice_Level2"/>
      <w:r>
        <w:rPr>
          <w:rFonts w:hint="eastAsia"/>
          <w:b/>
          <w:bCs/>
        </w:rPr>
        <w:t>2.2应用领域</w:t>
      </w:r>
      <w:bookmarkEnd w:id="18"/>
    </w:p>
    <w:p>
      <w:pPr>
        <w:spacing w:line="24" w:lineRule="atLeast"/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发、配电企业</w:t>
      </w:r>
    </w:p>
    <w:p>
      <w:pPr>
        <w:spacing w:line="24" w:lineRule="atLeast"/>
        <w:rPr>
          <w:b/>
          <w:bCs/>
        </w:rPr>
      </w:pPr>
      <w:r>
        <w:rPr>
          <w:rFonts w:hint="eastAsia" w:ascii="宋体" w:hAnsi="宋体" w:eastAsia="宋体" w:cs="宋体"/>
        </w:rPr>
        <w:t>·</w:t>
      </w:r>
      <w:r>
        <w:rPr>
          <w:rFonts w:hint="eastAsia"/>
        </w:rPr>
        <w:t>石油化工供电系统</w:t>
      </w:r>
    </w:p>
    <w:p>
      <w:pPr>
        <w:spacing w:line="24" w:lineRule="atLeast"/>
        <w:rPr>
          <w:b/>
          <w:bCs/>
        </w:rPr>
      </w:pPr>
    </w:p>
    <w:p>
      <w:pPr>
        <w:spacing w:line="24" w:lineRule="atLeast"/>
        <w:rPr>
          <w:b/>
          <w:bCs/>
        </w:rPr>
      </w:pPr>
    </w:p>
    <w:p>
      <w:pPr>
        <w:rPr>
          <w:rFonts w:hint="eastAsia"/>
          <w:b/>
          <w:bCs/>
          <w:sz w:val="32"/>
          <w:szCs w:val="32"/>
        </w:rPr>
      </w:pPr>
      <w:bookmarkStart w:id="19" w:name="_Toc28173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spacing w:line="2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三、产品介绍</w:t>
      </w:r>
      <w:bookmarkEnd w:id="19"/>
    </w:p>
    <w:p>
      <w:pPr>
        <w:spacing w:line="24" w:lineRule="atLeast"/>
        <w:rPr>
          <w:rFonts w:asciiTheme="minorEastAsia" w:hAnsiTheme="minorEastAsia"/>
          <w:spacing w:val="8"/>
          <w:kern w:val="0"/>
          <w:szCs w:val="21"/>
        </w:rPr>
      </w:pPr>
      <w:bookmarkStart w:id="20" w:name="_Toc10785_WPSOffice_Level2"/>
      <w:r>
        <w:rPr>
          <w:rFonts w:hint="eastAsia"/>
          <w:b/>
          <w:bCs/>
        </w:rPr>
        <w:t>3.1产品介绍</w:t>
      </w:r>
      <w:bookmarkEnd w:id="20"/>
    </w:p>
    <w:p>
      <w:pPr>
        <w:spacing w:line="24" w:lineRule="atLeast"/>
        <w:ind w:firstLine="420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 w:asciiTheme="minorEastAsia" w:hAnsiTheme="minorEastAsia"/>
          <w:spacing w:val="8"/>
          <w:kern w:val="0"/>
          <w:szCs w:val="21"/>
        </w:rPr>
        <w:t>针对开关柜局放检测，还处于传统的周期性人工巡检或停电试验阶段，实时监测手段较少，运行状态不能随时掌握，监测工作被动，无时无刻不存在安全隐患的痛点。</w:t>
      </w:r>
    </w:p>
    <w:p>
      <w:pPr>
        <w:spacing w:line="24" w:lineRule="atLeast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 w:asciiTheme="minorEastAsia" w:hAnsiTheme="minorEastAsia"/>
          <w:spacing w:val="8"/>
          <w:kern w:val="0"/>
          <w:szCs w:val="21"/>
        </w:rPr>
        <w:t>我公司推出的PD100局放在线监测终端，完美的替代人工巡检的弊端，可以对开关柜的设备绝缘情况进行实时在线监测，实时精准了解开关柜的安全状态。增加电网的供电安全可靠性，同时也为智能电网的建设起到积极的促进作用。</w:t>
      </w:r>
    </w:p>
    <w:p>
      <w:pPr>
        <w:spacing w:line="24" w:lineRule="atLeast"/>
        <w:rPr>
          <w:b/>
          <w:bCs/>
        </w:rPr>
      </w:pPr>
    </w:p>
    <w:p>
      <w:pPr>
        <w:spacing w:line="24" w:lineRule="atLeast"/>
        <w:rPr>
          <w:b/>
          <w:bCs/>
        </w:rPr>
      </w:pPr>
      <w:bookmarkStart w:id="21" w:name="_Toc8887_WPSOffice_Level2"/>
      <w:r>
        <w:rPr>
          <w:rFonts w:hint="eastAsia"/>
          <w:b/>
          <w:bCs/>
        </w:rPr>
        <w:t>3.2监测原理</w:t>
      </w:r>
      <w:bookmarkEnd w:id="21"/>
    </w:p>
    <w:p>
      <w:pPr>
        <w:spacing w:line="24" w:lineRule="atLeast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 w:asciiTheme="minorEastAsia" w:hAnsiTheme="minorEastAsia"/>
          <w:spacing w:val="8"/>
          <w:kern w:val="0"/>
          <w:szCs w:val="21"/>
        </w:rPr>
        <w:t xml:space="preserve">  </w:t>
      </w:r>
      <w:r>
        <w:rPr>
          <w:rFonts w:asciiTheme="minorEastAsia" w:hAnsiTheme="minorEastAsia"/>
          <w:spacing w:val="8"/>
          <w:kern w:val="0"/>
          <w:szCs w:val="21"/>
        </w:rPr>
        <w:tab/>
      </w:r>
      <w:r>
        <w:rPr>
          <w:rFonts w:hint="eastAsia" w:asciiTheme="minorEastAsia" w:hAnsiTheme="minorEastAsia"/>
          <w:spacing w:val="8"/>
          <w:kern w:val="0"/>
          <w:szCs w:val="21"/>
        </w:rPr>
        <w:t>开关柜的局放监测有两种原理：超声波原理和暂态地电压原理，本终端内置的AE传感器和TEV传感器正是用来测量开关柜局部放电的，该传感器处于终端的后端位置，监测时只需将终端吸附于开关柜表面即可。</w:t>
      </w:r>
    </w:p>
    <w:p>
      <w:pPr>
        <w:spacing w:line="24" w:lineRule="atLeast"/>
        <w:jc w:val="center"/>
      </w:pPr>
      <w:r>
        <w:drawing>
          <wp:inline distT="0" distB="0" distL="114300" distR="114300">
            <wp:extent cx="3152775" cy="21050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PD100背面图</w:t>
      </w:r>
    </w:p>
    <w:p>
      <w:pPr>
        <w:widowControl/>
        <w:spacing w:line="24" w:lineRule="atLeast"/>
        <w:jc w:val="left"/>
        <w:rPr>
          <w:rFonts w:hint="eastAsia" w:cs="宋体" w:asciiTheme="minorEastAsia" w:hAnsiTheme="minorEastAsia"/>
          <w:b/>
          <w:color w:val="000000"/>
          <w:kern w:val="0"/>
          <w:szCs w:val="21"/>
        </w:rPr>
      </w:pPr>
      <w:bookmarkStart w:id="22" w:name="_Toc10223_WPSOffice_Level3"/>
    </w:p>
    <w:p>
      <w:pPr>
        <w:widowControl/>
        <w:spacing w:line="24" w:lineRule="atLeast"/>
        <w:jc w:val="left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 w:cs="宋体" w:asciiTheme="minorEastAsia" w:hAnsiTheme="minorEastAsia"/>
          <w:b/>
          <w:color w:val="000000"/>
          <w:kern w:val="0"/>
          <w:szCs w:val="21"/>
        </w:rPr>
        <w:t>3.2.1超声波监测</w:t>
      </w:r>
      <w:bookmarkEnd w:id="22"/>
    </w:p>
    <w:p>
      <w:pPr>
        <w:spacing w:line="24" w:lineRule="atLeast"/>
        <w:ind w:firstLine="420" w:firstLineChars="20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2340610" cy="1840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Cs w:val="21"/>
        </w:rPr>
        <w:drawing>
          <wp:inline distT="0" distB="0" distL="0" distR="0">
            <wp:extent cx="2447290" cy="1835785"/>
            <wp:effectExtent l="0" t="0" r="1016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firstLine="3570" w:firstLineChars="1700"/>
        <w:rPr>
          <w:rFonts w:asciiTheme="minorEastAsia" w:hAnsiTheme="minorEastAsia"/>
          <w:szCs w:val="21"/>
        </w:rPr>
      </w:pPr>
    </w:p>
    <w:p>
      <w:pPr>
        <w:spacing w:line="24" w:lineRule="atLeast"/>
        <w:ind w:firstLine="3570" w:firstLineChars="170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超声波放电原理</w:t>
      </w:r>
    </w:p>
    <w:p>
      <w:pPr>
        <w:spacing w:line="24" w:lineRule="atLeast"/>
        <w:rPr>
          <w:rFonts w:asciiTheme="minorEastAsia" w:hAnsiTheme="minorEastAsia"/>
          <w:spacing w:val="8"/>
          <w:kern w:val="0"/>
          <w:szCs w:val="21"/>
        </w:rPr>
      </w:pPr>
    </w:p>
    <w:p>
      <w:pPr>
        <w:spacing w:line="24" w:lineRule="atLeast"/>
        <w:ind w:firstLine="420" w:firstLineChars="200"/>
        <w:jc w:val="center"/>
      </w:pPr>
      <w:r>
        <w:drawing>
          <wp:inline distT="0" distB="0" distL="114300" distR="114300">
            <wp:extent cx="4362450" cy="28130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firstLine="420" w:firstLineChars="200"/>
        <w:jc w:val="center"/>
      </w:pPr>
      <w:r>
        <w:rPr>
          <w:rFonts w:hint="eastAsia"/>
        </w:rPr>
        <w:t>超声波放电波形</w:t>
      </w:r>
    </w:p>
    <w:p>
      <w:pPr>
        <w:ind w:firstLine="420" w:firstLineChars="200"/>
      </w:pPr>
      <w:r>
        <w:rPr>
          <w:rFonts w:hint="eastAsia"/>
        </w:rPr>
        <w:t>局部放电前，放电点周围的电场应力、介质应力、粒子力处于相对平衡状态。局部放电是一种快速的电荷释放或迁移过程，导致放电点周围的电场应力、机械应力与粒子力失去平衡状态而产生振荡变化过程；</w:t>
      </w:r>
    </w:p>
    <w:p>
      <w:pPr>
        <w:ind w:firstLine="420" w:firstLineChars="200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/>
        </w:rPr>
        <w:t>机械应力与粒子力的快速振荡，导致放电点周围介质振动，从而产生声波信号，通过压电转换传感器达到测量目的。</w:t>
      </w:r>
    </w:p>
    <w:p>
      <w:pPr>
        <w:spacing w:line="24" w:lineRule="atLeast"/>
        <w:ind w:firstLine="452" w:firstLineChars="200"/>
        <w:rPr>
          <w:rFonts w:asciiTheme="minorEastAsia" w:hAnsiTheme="minorEastAsia"/>
          <w:spacing w:val="8"/>
          <w:kern w:val="0"/>
          <w:szCs w:val="21"/>
        </w:rPr>
      </w:pPr>
      <w:r>
        <w:rPr>
          <w:rFonts w:hint="eastAsia" w:asciiTheme="minorEastAsia" w:hAnsiTheme="minorEastAsia"/>
          <w:spacing w:val="8"/>
          <w:kern w:val="0"/>
          <w:szCs w:val="21"/>
        </w:rPr>
        <w:t>超声波信号是以空气作为传播介质，会通过柜体传播出去，因此超声波监测时需要传感器紧贴柜体表面。</w:t>
      </w:r>
    </w:p>
    <w:p>
      <w:pPr>
        <w:widowControl/>
        <w:spacing w:line="24" w:lineRule="atLeast"/>
        <w:jc w:val="left"/>
        <w:rPr>
          <w:rFonts w:cs="宋体" w:asciiTheme="minorEastAsia" w:hAnsiTheme="minorEastAsia"/>
          <w:bCs/>
          <w:color w:val="000000"/>
          <w:kern w:val="0"/>
          <w:szCs w:val="21"/>
        </w:rPr>
      </w:pPr>
    </w:p>
    <w:p>
      <w:pPr>
        <w:widowControl/>
        <w:spacing w:line="24" w:lineRule="atLeast"/>
        <w:jc w:val="left"/>
        <w:rPr>
          <w:rFonts w:cs="宋体" w:asciiTheme="minorEastAsia" w:hAnsiTheme="minorEastAsia"/>
          <w:b/>
          <w:color w:val="000000"/>
          <w:kern w:val="0"/>
          <w:szCs w:val="21"/>
        </w:rPr>
      </w:pPr>
      <w:bookmarkStart w:id="23" w:name="_Toc28173_WPSOffice_Level3"/>
      <w:r>
        <w:rPr>
          <w:rFonts w:hint="eastAsia" w:cs="宋体" w:asciiTheme="minorEastAsia" w:hAnsiTheme="minorEastAsia"/>
          <w:b/>
          <w:color w:val="000000"/>
          <w:kern w:val="0"/>
          <w:szCs w:val="21"/>
        </w:rPr>
        <w:t>3.2.2地电波监测</w:t>
      </w:r>
      <w:bookmarkEnd w:id="23"/>
    </w:p>
    <w:p>
      <w:pPr>
        <w:widowControl/>
        <w:spacing w:line="24" w:lineRule="atLeast"/>
        <w:ind w:firstLine="420" w:firstLineChars="200"/>
        <w:jc w:val="center"/>
        <w:rPr>
          <w:rFonts w:cs="宋体" w:asciiTheme="minorEastAsia" w:hAnsiTheme="minorEastAsia"/>
          <w:b/>
          <w:color w:val="000000"/>
          <w:kern w:val="0"/>
          <w:szCs w:val="21"/>
        </w:rPr>
      </w:pPr>
      <w:r>
        <w:rPr>
          <w:rFonts w:asciiTheme="minorEastAsia" w:hAnsiTheme="minorEastAsia"/>
          <w:szCs w:val="21"/>
        </w:rPr>
        <w:drawing>
          <wp:inline distT="0" distB="0" distL="0" distR="0">
            <wp:extent cx="4986020" cy="1934210"/>
            <wp:effectExtent l="0" t="0" r="508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916" cy="193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" w:lineRule="atLeast"/>
        <w:ind w:firstLine="3570" w:firstLineChars="1700"/>
        <w:jc w:val="left"/>
        <w:rPr>
          <w:rFonts w:cs="宋体" w:asciiTheme="minorEastAsia" w:hAnsiTheme="minorEastAsia"/>
          <w:bCs/>
          <w:color w:val="000000"/>
          <w:kern w:val="0"/>
          <w:szCs w:val="21"/>
        </w:rPr>
      </w:pPr>
      <w:r>
        <w:rPr>
          <w:rFonts w:hint="eastAsia" w:cs="宋体" w:asciiTheme="minorEastAsia" w:hAnsiTheme="minorEastAsia"/>
          <w:bCs/>
          <w:color w:val="000000"/>
          <w:kern w:val="0"/>
          <w:szCs w:val="21"/>
        </w:rPr>
        <w:t>地电波原理图</w:t>
      </w:r>
    </w:p>
    <w:p>
      <w:pPr>
        <w:widowControl/>
        <w:spacing w:line="24" w:lineRule="atLeast"/>
        <w:ind w:firstLine="3570" w:firstLineChars="1700"/>
        <w:jc w:val="left"/>
        <w:rPr>
          <w:rFonts w:cs="宋体" w:asciiTheme="minorEastAsia" w:hAnsiTheme="minorEastAsia"/>
          <w:bCs/>
          <w:color w:val="000000"/>
          <w:kern w:val="0"/>
          <w:szCs w:val="21"/>
        </w:rPr>
      </w:pPr>
    </w:p>
    <w:p>
      <w:pPr>
        <w:pStyle w:val="9"/>
        <w:spacing w:line="24" w:lineRule="atLeast"/>
        <w:rPr>
          <w:rFonts w:asciiTheme="minorEastAsia" w:hAnsiTheme="minorEastAsia"/>
          <w:kern w:val="0"/>
          <w:szCs w:val="21"/>
        </w:rPr>
      </w:pPr>
      <w:r>
        <w:rPr>
          <w:rFonts w:hint="eastAsia" w:asciiTheme="minorEastAsia" w:hAnsiTheme="minorEastAsia"/>
          <w:kern w:val="0"/>
          <w:szCs w:val="21"/>
        </w:rPr>
        <w:t>局部放电发生时，受肌肤效应作用，局部放电信号会在金属柜体表面传播，在金属断开或绝缘连接处，电流波转移至外表面；电磁波上升沿碰到金属外表面，产生暂态对地电压，频率一般在3~100MHz之间，地电波幅值与放电量和传播途径的衰减程度有关，要取决于放电点位置、设备的内部结构，采用电容型地电波传感器对地电波进行感应测量，</w:t>
      </w:r>
      <w:r>
        <w:rPr>
          <w:rFonts w:hint="eastAsia" w:asciiTheme="minorEastAsia" w:hAnsiTheme="minorEastAsia"/>
          <w:spacing w:val="8"/>
          <w:kern w:val="0"/>
          <w:szCs w:val="21"/>
        </w:rPr>
        <w:t>通过分析超声波的幅值和波形来实现监测局部放电的目的</w:t>
      </w:r>
      <w:r>
        <w:rPr>
          <w:rFonts w:hint="eastAsia" w:asciiTheme="minorEastAsia" w:hAnsiTheme="minorEastAsia"/>
          <w:kern w:val="0"/>
          <w:szCs w:val="21"/>
        </w:rPr>
        <w:t>。</w:t>
      </w:r>
    </w:p>
    <w:p>
      <w:pPr>
        <w:pStyle w:val="10"/>
        <w:spacing w:line="24" w:lineRule="atLeast"/>
        <w:jc w:val="center"/>
      </w:pPr>
      <w:r>
        <w:drawing>
          <wp:inline distT="0" distB="0" distL="114300" distR="114300">
            <wp:extent cx="4407535" cy="2811780"/>
            <wp:effectExtent l="0" t="0" r="1206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70" w:firstLineChars="1700"/>
      </w:pPr>
      <w:r>
        <w:rPr>
          <w:rFonts w:hint="eastAsia"/>
        </w:rPr>
        <w:t>地电波波形图</w:t>
      </w:r>
    </w:p>
    <w:p>
      <w:pPr>
        <w:pStyle w:val="10"/>
        <w:spacing w:line="24" w:lineRule="atLeast"/>
      </w:pPr>
    </w:p>
    <w:p>
      <w:pPr>
        <w:spacing w:line="24" w:lineRule="atLeast"/>
      </w:pPr>
    </w:p>
    <w:p>
      <w:pPr>
        <w:spacing w:line="24" w:lineRule="atLeast"/>
      </w:pPr>
      <w:bookmarkStart w:id="24" w:name="_Toc8453_WPSOffice_Level2"/>
      <w:r>
        <w:rPr>
          <w:rFonts w:hint="eastAsia"/>
          <w:b/>
          <w:bCs/>
        </w:rPr>
        <w:t>3.3产品功能</w:t>
      </w:r>
      <w:bookmarkEnd w:id="24"/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实时数据监测</w:t>
      </w:r>
    </w:p>
    <w:p>
      <w:pPr>
        <w:spacing w:line="24" w:lineRule="atLeast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终端支持超声波（AE)、地电波（TEV）两种监测技术，多技术相互配合，对开关柜的状态监测更加全面。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自动报警功能</w:t>
      </w:r>
    </w:p>
    <w:p>
      <w:pPr>
        <w:spacing w:line="24" w:lineRule="atLeast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当监测到异常数据和大幅度变化时，系统会报警信息及时提醒运维人员，提前预防潜在的设备故障。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数据分析能力</w:t>
      </w:r>
    </w:p>
    <w:p>
      <w:pPr>
        <w:spacing w:line="24" w:lineRule="atLeast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支持手机APP及PC端后台数据查看，并生成相应的数据报表、报警信息和趋势图等，辅助运维人员查看分析。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系统拓展功能</w:t>
      </w:r>
    </w:p>
    <w:p>
      <w:pPr>
        <w:spacing w:line="24" w:lineRule="atLeast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可以根据现场实际情况需求，灵活增加局放监测终端。新增终端不影响已配置的终端，终端组网更加简单便捷。</w:t>
      </w:r>
    </w:p>
    <w:p>
      <w:pPr>
        <w:spacing w:line="24" w:lineRule="atLeast"/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无需断电安装</w:t>
      </w:r>
    </w:p>
    <w:p>
      <w:pPr>
        <w:spacing w:line="24" w:lineRule="atLeast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采用磁铁吸附设计，直接吸附高压开关柜表面，不影响配电房正常运行，方便现场布设或改造施工。</w:t>
      </w:r>
    </w:p>
    <w:p>
      <w:pPr>
        <w:spacing w:line="24" w:lineRule="atLeast"/>
      </w:pPr>
    </w:p>
    <w:p>
      <w:pPr>
        <w:spacing w:line="24" w:lineRule="atLeast"/>
      </w:pPr>
    </w:p>
    <w:p>
      <w:pPr>
        <w:spacing w:line="24" w:lineRule="atLeast"/>
        <w:rPr>
          <w:b/>
          <w:bCs/>
        </w:rPr>
      </w:pPr>
      <w:bookmarkStart w:id="25" w:name="_Toc25172_WPSOffice_Level2"/>
      <w:r>
        <w:rPr>
          <w:rFonts w:hint="eastAsia"/>
          <w:b/>
          <w:bCs/>
        </w:rPr>
        <w:t>3.4产品参数</w:t>
      </w:r>
      <w:bookmarkEnd w:id="25"/>
    </w:p>
    <w:p>
      <w:pPr>
        <w:spacing w:line="288" w:lineRule="auto"/>
        <w:ind w:firstLine="420"/>
        <w:rPr>
          <w:b/>
          <w:bCs/>
        </w:rPr>
      </w:pPr>
      <w:r>
        <w:rPr>
          <w:rFonts w:hint="eastAsia" w:asciiTheme="minorEastAsia" w:hAnsiTheme="minorEastAsia"/>
          <w:spacing w:val="8"/>
          <w:kern w:val="0"/>
          <w:szCs w:val="21"/>
        </w:rPr>
        <w:t>局放监测终端包括两种原理的监测模块，超声波原理和地电波原理，装置内部自带可充电锂电池，可以循环充电使用，充一次电可待机1年以上，支持Lora和4G无线通讯功能，实现局放的数据采集和传输功能。</w:t>
      </w:r>
    </w:p>
    <w:p>
      <w:pPr>
        <w:spacing w:line="24" w:lineRule="atLeast"/>
      </w:pPr>
      <w:r>
        <w:drawing>
          <wp:inline distT="0" distB="0" distL="114300" distR="114300">
            <wp:extent cx="5062220" cy="209931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firstLine="3150" w:firstLineChars="1500"/>
        <w:rPr>
          <w:rFonts w:hint="eastAsia"/>
        </w:rPr>
      </w:pPr>
      <w:r>
        <w:rPr>
          <w:rFonts w:hint="eastAsia"/>
        </w:rPr>
        <w:t>技术参数图</w:t>
      </w:r>
    </w:p>
    <w:p>
      <w:pPr>
        <w:spacing w:line="24" w:lineRule="atLeast"/>
      </w:pPr>
      <w:r>
        <w:drawing>
          <wp:inline distT="0" distB="0" distL="114300" distR="114300">
            <wp:extent cx="2435225" cy="1701165"/>
            <wp:effectExtent l="0" t="0" r="3175" b="133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8435" cy="1720850"/>
            <wp:effectExtent l="0" t="0" r="5715" b="1270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jc w:val="both"/>
      </w:pPr>
      <w:r>
        <w:rPr>
          <w:rFonts w:hint="eastAsia"/>
          <w:lang w:val="en-US" w:eastAsia="zh-CN"/>
        </w:rPr>
        <w:t xml:space="preserve">                             网关端子定义</w:t>
      </w:r>
    </w:p>
    <w:p>
      <w:pPr>
        <w:spacing w:line="24" w:lineRule="atLeast"/>
        <w:rPr>
          <w:b/>
          <w:bCs/>
        </w:rPr>
      </w:pPr>
      <w:bookmarkStart w:id="26" w:name="_Toc19565_WPSOffice_Level2"/>
      <w:r>
        <w:rPr>
          <w:rFonts w:hint="eastAsia"/>
          <w:b/>
          <w:bCs/>
        </w:rPr>
        <w:t>3.5组网方式</w:t>
      </w:r>
      <w:bookmarkEnd w:id="26"/>
    </w:p>
    <w:p>
      <w:pPr>
        <w:spacing w:line="24" w:lineRule="atLeast"/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</w:rPr>
        <w:t>※</w:t>
      </w:r>
      <w:r>
        <w:rPr>
          <w:rFonts w:hint="eastAsia" w:ascii="宋体" w:hAnsi="宋体" w:eastAsia="宋体" w:cs="宋体"/>
          <w:b/>
          <w:bCs/>
        </w:rPr>
        <w:t>Lora组网</w:t>
      </w:r>
    </w:p>
    <w:p>
      <w:pPr>
        <w:spacing w:line="24" w:lineRule="atLeast"/>
        <w:ind w:firstLine="42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各个终端通过LoRa组网的方式，将设备信息上传到中心节点，中心节点收集这些信息，然后通过4G的方式或者以太网的方式将这些信息上传至云端，实现和每一个终端分别通过4G通信达到一样的控制效果，适用于集中式的部署方案。</w:t>
      </w:r>
    </w:p>
    <w:p>
      <w:pPr>
        <w:spacing w:line="24" w:lineRule="atLeast"/>
        <w:ind w:firstLine="420"/>
        <w:jc w:val="both"/>
        <w:rPr>
          <w:rFonts w:hint="default" w:eastAsiaTheme="minorEastAsia"/>
          <w:lang w:val="en-US" w:eastAsia="zh-CN"/>
        </w:rPr>
      </w:pPr>
    </w:p>
    <w:p>
      <w:pPr>
        <w:spacing w:line="24" w:lineRule="atLeast"/>
        <w:jc w:val="center"/>
      </w:pPr>
      <w:r>
        <w:drawing>
          <wp:inline distT="0" distB="0" distL="114300" distR="114300">
            <wp:extent cx="3545840" cy="2965450"/>
            <wp:effectExtent l="0" t="0" r="1651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jc w:val="center"/>
        <w:rPr>
          <w:b/>
          <w:bCs/>
          <w:sz w:val="32"/>
          <w:szCs w:val="32"/>
        </w:rPr>
      </w:pPr>
      <w:r>
        <w:rPr>
          <w:rFonts w:hint="eastAsia" w:ascii="宋体" w:hAnsi="宋体" w:eastAsia="宋体" w:cs="宋体"/>
        </w:rPr>
        <w:t>LORA组网拓扑图</w:t>
      </w:r>
    </w:p>
    <w:p>
      <w:pPr>
        <w:rPr>
          <w:rFonts w:hint="eastAsia"/>
          <w:b/>
          <w:bCs/>
          <w:sz w:val="32"/>
          <w:szCs w:val="32"/>
        </w:rPr>
      </w:pPr>
      <w:bookmarkStart w:id="27" w:name="_Toc3461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spacing w:line="24" w:lineRule="atLeast"/>
        <w:rPr>
          <w:b/>
          <w:bCs/>
        </w:rPr>
      </w:pPr>
      <w:r>
        <w:rPr>
          <w:rFonts w:hint="eastAsia"/>
          <w:b/>
          <w:bCs/>
          <w:sz w:val="32"/>
          <w:szCs w:val="32"/>
        </w:rPr>
        <w:t>四、APP介绍</w:t>
      </w:r>
      <w:bookmarkEnd w:id="27"/>
    </w:p>
    <w:p>
      <w:pPr>
        <w:rPr>
          <w:rFonts w:hint="eastAsia"/>
        </w:rPr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事件记录和故障报警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当局放监测终端报警时，后台监控系统会及时的提醒并告知运维人员及时处理故障。同时对于一些操作，或者动作信息等都会按照时间的顺序记录下来，便于后期的查看。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数据查看</w:t>
      </w:r>
    </w:p>
    <w:p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局放监测终端APP</w:t>
      </w:r>
      <w:r>
        <w:t>将采集</w:t>
      </w:r>
      <w:r>
        <w:rPr>
          <w:rFonts w:hint="eastAsia"/>
        </w:rPr>
        <w:t>的数据</w:t>
      </w:r>
      <w:r>
        <w:t>（</w:t>
      </w:r>
      <w:r>
        <w:rPr>
          <w:rFonts w:hint="eastAsia"/>
        </w:rPr>
        <w:t>AE放电次数、AE放电幅值、AE放电均值、TEV放电次数、TEV放电幅值、TEV放电均值、电池电量等</w:t>
      </w:r>
      <w:r>
        <w:t>）在后台实时展现，7*24小时全年无休监控，同时支持历史记录回溯等功能。</w:t>
      </w:r>
    </w:p>
    <w:p/>
    <w:p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曲线分析和报表管理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曲线分析的作用是分析当前数据一段时间的变化情况，便于运维人员对设备绝缘状态进行分析。</w:t>
      </w:r>
    </w:p>
    <w:p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报表是根据运维人员的要求，形成相关的数据记录表，包括日报表、月报表、季报表、年报表。</w:t>
      </w:r>
      <w:r>
        <w:rPr>
          <w:rFonts w:hint="eastAsia"/>
        </w:rPr>
        <w:br w:type="textWrapping"/>
      </w:r>
    </w:p>
    <w:p>
      <w:pPr>
        <w:spacing w:line="24" w:lineRule="atLeast"/>
      </w:pPr>
      <w:r>
        <w:drawing>
          <wp:inline distT="0" distB="0" distL="114300" distR="114300">
            <wp:extent cx="5272405" cy="2540635"/>
            <wp:effectExtent l="0" t="0" r="444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firstLine="3150" w:firstLineChars="1500"/>
        <w:rPr>
          <w:rFonts w:hint="eastAsia"/>
        </w:rPr>
      </w:pPr>
      <w:r>
        <w:rPr>
          <w:rFonts w:hint="eastAsia"/>
        </w:rPr>
        <w:t>APP端展示图</w:t>
      </w:r>
    </w:p>
    <w:p>
      <w:pPr>
        <w:spacing w:line="24" w:lineRule="atLeast"/>
        <w:ind w:firstLine="3150" w:firstLineChars="1500"/>
        <w:rPr>
          <w:rFonts w:hint="eastAsia"/>
        </w:rPr>
      </w:pPr>
    </w:p>
    <w:p>
      <w:pPr>
        <w:spacing w:line="24" w:lineRule="atLeast"/>
        <w:ind w:firstLine="3150" w:firstLineChars="1500"/>
        <w:rPr>
          <w:rFonts w:hint="eastAsia"/>
        </w:rPr>
      </w:pPr>
    </w:p>
    <w:p>
      <w:pPr>
        <w:rPr>
          <w:rFonts w:hint="eastAsia"/>
          <w:b/>
          <w:bCs/>
          <w:sz w:val="32"/>
          <w:szCs w:val="32"/>
        </w:rPr>
      </w:pPr>
      <w:bookmarkStart w:id="28" w:name="_Toc23319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spacing w:line="2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五、 PC端介绍</w:t>
      </w:r>
      <w:bookmarkEnd w:id="28"/>
    </w:p>
    <w:p>
      <w:pPr>
        <w:rPr>
          <w:rFonts w:hint="eastAsia"/>
        </w:rPr>
      </w:pPr>
      <w:r>
        <w:rPr>
          <w:rFonts w:hint="eastAsia" w:ascii="宋体" w:hAnsi="宋体" w:eastAsia="宋体" w:cs="宋体"/>
          <w:b/>
          <w:bCs/>
        </w:rPr>
        <w:t>※</w:t>
      </w:r>
      <w:r>
        <w:rPr>
          <w:rFonts w:hint="eastAsia"/>
          <w:b/>
          <w:bCs/>
        </w:rPr>
        <w:t>友好的人机交互界面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可以通过网址直接访问后台，直观的展现整个电站的设备绝缘情况，同时根据实际要求可以做很多分页面，更方便了运维管理。</w:t>
      </w:r>
    </w:p>
    <w:p>
      <w:pPr>
        <w:rPr>
          <w:rFonts w:hint="eastAsia"/>
        </w:rPr>
      </w:pPr>
      <w:r>
        <w:rPr>
          <w:rFonts w:hint="eastAsia"/>
        </w:rPr>
        <w:br w:type="textWrapping"/>
      </w: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用户管理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后台监测系统可以根据不同级别的人员设置不同的权限，保证了运行的安全性和可靠性。</w:t>
      </w:r>
    </w:p>
    <w:p>
      <w:pPr>
        <w:rPr>
          <w:rFonts w:hint="eastAsia"/>
        </w:rPr>
      </w:pPr>
    </w:p>
    <w:p>
      <w:pPr>
        <w:rPr>
          <w:b/>
          <w:bCs/>
        </w:rPr>
      </w:pPr>
      <w:r>
        <w:rPr>
          <w:rFonts w:hint="eastAsia" w:ascii="宋体" w:hAnsi="宋体" w:eastAsia="宋体" w:cs="宋体"/>
          <w:b/>
          <w:bCs/>
        </w:rPr>
        <w:t>※</w:t>
      </w:r>
      <w:r>
        <w:rPr>
          <w:rFonts w:hint="eastAsia"/>
          <w:b/>
          <w:bCs/>
        </w:rPr>
        <w:t>数据查看</w:t>
      </w:r>
    </w:p>
    <w:p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局放监测终端APP</w:t>
      </w:r>
      <w:r>
        <w:t>将采集</w:t>
      </w:r>
      <w:r>
        <w:rPr>
          <w:rFonts w:hint="eastAsia"/>
        </w:rPr>
        <w:t>的数据</w:t>
      </w:r>
      <w:r>
        <w:t>（</w:t>
      </w:r>
      <w:r>
        <w:rPr>
          <w:rFonts w:hint="eastAsia"/>
        </w:rPr>
        <w:t>AE放电次数、AE放电幅值、AE放电均值、TEV放电次数、TEV放电幅值、TEV放电均值、电池电量等</w:t>
      </w:r>
      <w:r>
        <w:t>）在后台实时展现，7*24小时全年无休监控，同时支持历史记录回溯等功能。</w:t>
      </w:r>
    </w:p>
    <w:p/>
    <w:p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曲线分析和报表管理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曲线分析是记录当前数据一段时间的变化情况，便于运维人员对设备绝缘状态进行分析。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报表能够形成相关的数据记录表，包括日报表、月报表、季报表、年报表。</w:t>
      </w:r>
    </w:p>
    <w:p>
      <w:r>
        <w:rPr>
          <w:rFonts w:hint="eastAsia"/>
        </w:rPr>
        <w:br w:type="textWrapping"/>
      </w:r>
      <w:r>
        <w:rPr>
          <w:rFonts w:hint="eastAsia" w:ascii="宋体" w:hAnsi="宋体" w:eastAsia="宋体" w:cs="宋体"/>
        </w:rPr>
        <w:t>※</w:t>
      </w:r>
      <w:r>
        <w:rPr>
          <w:rFonts w:hint="eastAsia"/>
          <w:b/>
          <w:bCs/>
        </w:rPr>
        <w:t>事件记录和故障报警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当局监测放终端报警时，后台监控系统会及时的提醒并告知运维人员及时处理故障。同时对于一些操作，或者动作信息等都会按照时间的顺序记录下来，便于后期的查看。</w:t>
      </w:r>
    </w:p>
    <w:p>
      <w:pPr>
        <w:spacing w:line="24" w:lineRule="atLeast"/>
        <w:ind w:left="3780" w:hanging="3780" w:hangingChars="1800"/>
        <w:jc w:val="left"/>
      </w:pPr>
      <w:r>
        <w:drawing>
          <wp:inline distT="0" distB="0" distL="114300" distR="114300">
            <wp:extent cx="5290820" cy="2005330"/>
            <wp:effectExtent l="0" t="0" r="5080" b="139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3780" w:leftChars="1700" w:hanging="210" w:hangingChars="100"/>
        <w:jc w:val="left"/>
      </w:pPr>
      <w:r>
        <w:rPr>
          <w:rFonts w:hint="eastAsia"/>
        </w:rPr>
        <w:t>电脑端展示图</w:t>
      </w:r>
    </w:p>
    <w:p>
      <w:pPr>
        <w:rPr>
          <w:rFonts w:hint="eastAsia"/>
          <w:b/>
          <w:bCs/>
          <w:sz w:val="32"/>
          <w:szCs w:val="32"/>
        </w:rPr>
      </w:pPr>
      <w:bookmarkStart w:id="29" w:name="_Toc10785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pStyle w:val="10"/>
        <w:spacing w:line="24" w:lineRule="atLeast"/>
        <w:ind w:firstLine="0" w:firstLineChars="0"/>
        <w:jc w:val="left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六、安装说明</w:t>
      </w:r>
      <w:bookmarkEnd w:id="29"/>
    </w:p>
    <w:p>
      <w:pPr>
        <w:pStyle w:val="10"/>
        <w:spacing w:line="24" w:lineRule="atLeast"/>
        <w:ind w:firstLine="0" w:firstLineChars="0"/>
        <w:jc w:val="left"/>
        <w:rPr>
          <w:rFonts w:cs="黑体" w:asciiTheme="minorEastAsia" w:hAnsi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※</w:t>
      </w:r>
      <w:r>
        <w:rPr>
          <w:rFonts w:hint="eastAsia" w:cs="黑体" w:asciiTheme="minorEastAsia" w:hAnsiTheme="minorEastAsia"/>
          <w:szCs w:val="21"/>
        </w:rPr>
        <w:t>将终端直接吸附开关柜的面板上，安装好无线网关。</w:t>
      </w:r>
    </w:p>
    <w:p>
      <w:pPr>
        <w:pStyle w:val="10"/>
        <w:spacing w:line="24" w:lineRule="atLeast"/>
        <w:ind w:firstLine="0" w:firstLineChars="0"/>
        <w:jc w:val="left"/>
        <w:rPr>
          <w:rFonts w:cs="黑体" w:asciiTheme="minorEastAsia" w:hAnsi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※</w:t>
      </w:r>
      <w:r>
        <w:rPr>
          <w:rFonts w:hint="eastAsia" w:cs="黑体" w:asciiTheme="minorEastAsia" w:hAnsiTheme="minorEastAsia"/>
          <w:szCs w:val="21"/>
        </w:rPr>
        <w:t>长按产品上的开始按钮开机。</w:t>
      </w:r>
    </w:p>
    <w:p>
      <w:pPr>
        <w:pStyle w:val="10"/>
        <w:spacing w:line="24" w:lineRule="atLeast"/>
        <w:ind w:firstLine="0" w:firstLineChars="0"/>
        <w:jc w:val="left"/>
        <w:rPr>
          <w:rFonts w:cs="黑体" w:asciiTheme="minorEastAsia" w:hAnsiTheme="minorEastAsia"/>
          <w:szCs w:val="21"/>
        </w:rPr>
      </w:pPr>
      <w:r>
        <w:rPr>
          <w:rFonts w:hint="eastAsia" w:ascii="宋体" w:hAnsi="宋体" w:eastAsia="宋体" w:cs="宋体"/>
          <w:szCs w:val="21"/>
        </w:rPr>
        <w:t>※</w:t>
      </w:r>
      <w:r>
        <w:rPr>
          <w:rFonts w:hint="eastAsia" w:cs="黑体" w:asciiTheme="minorEastAsia" w:hAnsiTheme="minorEastAsia"/>
          <w:szCs w:val="21"/>
        </w:rPr>
        <w:t>通过手机app进行终端与网关的绑定配置。</w:t>
      </w:r>
    </w:p>
    <w:p>
      <w:pPr>
        <w:spacing w:line="24" w:lineRule="atLeast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66540" cy="2447925"/>
            <wp:effectExtent l="0" t="0" r="0" b="0"/>
            <wp:docPr id="13" name="图片 13" descr="网关实物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网关实物图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665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" w:lineRule="atLeast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网关安装示意</w:t>
      </w:r>
    </w:p>
    <w:p>
      <w:pPr>
        <w:spacing w:line="24" w:lineRule="atLeast"/>
        <w:jc w:val="center"/>
        <w:rPr>
          <w:rFonts w:hint="default"/>
          <w:lang w:val="en-US" w:eastAsia="zh-CN"/>
        </w:rPr>
      </w:pPr>
    </w:p>
    <w:p>
      <w:pPr>
        <w:spacing w:line="24" w:lineRule="atLeast"/>
        <w:jc w:val="center"/>
        <w:rPr>
          <w:rFonts w:hint="default"/>
          <w:lang w:val="en-US" w:eastAsia="zh-CN"/>
        </w:rPr>
      </w:pPr>
    </w:p>
    <w:p>
      <w:pPr>
        <w:spacing w:line="24" w:lineRule="atLeast"/>
        <w:jc w:val="center"/>
      </w:pPr>
      <w:r>
        <w:rPr>
          <w:rFonts w:ascii="黑体" w:hAnsi="黑体" w:eastAsia="黑体" w:cs="黑体"/>
          <w:b/>
          <w:bCs/>
          <w:sz w:val="28"/>
          <w:szCs w:val="28"/>
        </w:rPr>
        <w:drawing>
          <wp:inline distT="0" distB="0" distL="0" distR="0">
            <wp:extent cx="3585210" cy="2268220"/>
            <wp:effectExtent l="0" t="0" r="15240" b="1778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</w:rPr>
        <w:t>现场安装图</w:t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ind w:firstLine="1260" w:firstLineChars="600"/>
      </w:pPr>
    </w:p>
    <w:p>
      <w:pPr>
        <w:ind w:firstLine="1260" w:firstLineChars="600"/>
      </w:pPr>
    </w:p>
    <w:p>
      <w:pPr>
        <w:rPr>
          <w:rFonts w:hint="eastAsia"/>
          <w:b/>
          <w:bCs/>
          <w:sz w:val="32"/>
          <w:szCs w:val="32"/>
        </w:rPr>
      </w:pPr>
      <w:bookmarkStart w:id="30" w:name="_Toc8887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spacing w:line="2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七、结构设计</w:t>
      </w:r>
      <w:bookmarkEnd w:id="30"/>
    </w:p>
    <w:p>
      <w:pPr>
        <w:spacing w:line="24" w:lineRule="atLeast"/>
      </w:pPr>
      <w:r>
        <w:rPr>
          <w:rFonts w:hint="eastAsia"/>
        </w:rPr>
        <w:t xml:space="preserve">       </w:t>
      </w:r>
      <w:r>
        <w:drawing>
          <wp:inline distT="0" distB="0" distL="0" distR="0">
            <wp:extent cx="1044575" cy="2385060"/>
            <wp:effectExtent l="0" t="0" r="3175" b="152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97990" cy="2434590"/>
            <wp:effectExtent l="0" t="0" r="165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5380" cy="995680"/>
            <wp:effectExtent l="0" t="0" r="1397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0538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" w:lineRule="atLeast"/>
        <w:ind w:firstLine="1050" w:firstLineChars="500"/>
        <w:rPr>
          <w:rFonts w:hint="eastAsia"/>
        </w:rPr>
      </w:pPr>
      <w:r>
        <w:rPr>
          <w:rFonts w:hint="eastAsia"/>
        </w:rPr>
        <w:t>长度（mm）         宽度（mm）          厚度（mm）</w:t>
      </w:r>
    </w:p>
    <w:p>
      <w:pPr>
        <w:spacing w:line="24" w:lineRule="atLeast"/>
        <w:ind w:firstLine="1050" w:firstLineChars="500"/>
        <w:rPr>
          <w:rFonts w:hint="eastAsia"/>
        </w:rPr>
      </w:pPr>
      <w:r>
        <w:rPr>
          <w:rFonts w:hint="eastAsia"/>
          <w:lang w:val="en-US" w:eastAsia="zh-CN"/>
        </w:rPr>
        <w:t xml:space="preserve">                  局放终端</w:t>
      </w:r>
      <w:r>
        <w:rPr>
          <w:rFonts w:hint="eastAsia"/>
        </w:rPr>
        <w:t>结构图</w:t>
      </w:r>
    </w:p>
    <w:p>
      <w:pPr>
        <w:spacing w:line="24" w:lineRule="atLeast"/>
        <w:ind w:firstLine="1050" w:firstLineChars="500"/>
        <w:rPr>
          <w:rFonts w:hint="default"/>
          <w:lang w:val="en-US" w:eastAsia="zh-CN"/>
        </w:rPr>
      </w:pPr>
    </w:p>
    <w:p>
      <w:pPr>
        <w:spacing w:line="24" w:lineRule="atLeast"/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81425" cy="2141855"/>
            <wp:effectExtent l="0" t="0" r="952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940" w:firstLineChars="1400"/>
      </w:pPr>
      <w:r>
        <w:rPr>
          <w:rFonts w:hint="eastAsia"/>
          <w:lang w:val="en-US" w:eastAsia="zh-CN"/>
        </w:rPr>
        <w:t>网关</w:t>
      </w:r>
      <w:r>
        <w:rPr>
          <w:rFonts w:hint="eastAsia"/>
        </w:rPr>
        <w:t>结构图</w:t>
      </w:r>
    </w:p>
    <w:p/>
    <w:p>
      <w:pPr>
        <w:rPr>
          <w:rFonts w:hint="eastAsia"/>
          <w:b/>
          <w:bCs/>
          <w:sz w:val="32"/>
          <w:szCs w:val="32"/>
        </w:rPr>
      </w:pPr>
      <w:bookmarkStart w:id="31" w:name="_Toc8453_WPSOffice_Level1"/>
      <w:r>
        <w:rPr>
          <w:rFonts w:hint="eastAsia"/>
          <w:b/>
          <w:bCs/>
          <w:sz w:val="32"/>
          <w:szCs w:val="32"/>
        </w:rPr>
        <w:br w:type="page"/>
      </w:r>
    </w:p>
    <w:p>
      <w:pPr>
        <w:spacing w:line="24" w:lineRule="atLeas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八、装箱清单</w:t>
      </w:r>
      <w:bookmarkEnd w:id="31"/>
    </w:p>
    <w:p>
      <w:pPr>
        <w:spacing w:line="24" w:lineRule="atLeast"/>
        <w:rPr>
          <w:rFonts w:ascii="宋体" w:hAnsi="宋体" w:eastAsia="宋体" w:cs="宋体"/>
          <w:szCs w:val="21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szCs w:val="21"/>
        </w:rPr>
        <w:t>现场如需自行安装,拆箱后按照装箱清单核实产品数量,并检查是否有配件丢失或损坏.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3"/>
        <w:gridCol w:w="1977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7" w:hRule="atLeast"/>
        </w:trPr>
        <w:tc>
          <w:tcPr>
            <w:tcW w:w="2283" w:type="dxa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748665" cy="1100455"/>
                  <wp:effectExtent l="0" t="0" r="13335" b="0"/>
                  <wp:docPr id="7" name="图片 7" descr="局放产品抠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局放产品抠图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173990</wp:posOffset>
                  </wp:positionV>
                  <wp:extent cx="991235" cy="843915"/>
                  <wp:effectExtent l="0" t="0" r="18415" b="13335"/>
                  <wp:wrapSquare wrapText="bothSides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123" cy="844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31" w:type="dxa"/>
          </w:tcPr>
          <w:p>
            <w:pPr>
              <w:spacing w:line="24" w:lineRule="atLeast"/>
              <w:jc w:val="center"/>
              <w:rPr>
                <w:rFonts w:hint="eastAsia" w:ascii="宋体" w:hAnsi="宋体" w:eastAsia="宋体" w:cs="宋体"/>
                <w:color w:val="000000" w:themeColor="text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209675" cy="908050"/>
                  <wp:effectExtent l="0" t="0" r="0" b="0"/>
                  <wp:docPr id="19" name="图片 19" descr="网关实物图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网关实物图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</w:tcPr>
          <w:p>
            <w:pPr>
              <w:spacing w:line="24" w:lineRule="atLeast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drawing>
                <wp:inline distT="0" distB="0" distL="0" distR="0">
                  <wp:extent cx="1114425" cy="1058545"/>
                  <wp:effectExtent l="0" t="0" r="9525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54" cy="108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" w:hRule="atLeast"/>
        </w:trPr>
        <w:tc>
          <w:tcPr>
            <w:tcW w:w="2283" w:type="dxa"/>
            <w:vAlign w:val="center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spacing w:val="8"/>
                <w:kern w:val="0"/>
                <w:szCs w:val="21"/>
              </w:rPr>
              <w:t>开关柜局放监测终端</w:t>
            </w:r>
          </w:p>
        </w:tc>
        <w:tc>
          <w:tcPr>
            <w:tcW w:w="1977" w:type="dxa"/>
            <w:vAlign w:val="center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充电适配器（1个）</w:t>
            </w:r>
          </w:p>
        </w:tc>
        <w:tc>
          <w:tcPr>
            <w:tcW w:w="2131" w:type="dxa"/>
            <w:vAlign w:val="center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无线网关</w:t>
            </w:r>
          </w:p>
        </w:tc>
        <w:tc>
          <w:tcPr>
            <w:tcW w:w="2131" w:type="dxa"/>
            <w:vAlign w:val="center"/>
          </w:tcPr>
          <w:p>
            <w:pPr>
              <w:spacing w:line="24" w:lineRule="atLeast"/>
              <w:jc w:val="center"/>
              <w:rPr>
                <w:rFonts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包装盒</w:t>
            </w:r>
          </w:p>
        </w:tc>
      </w:tr>
    </w:tbl>
    <w:p>
      <w:pPr>
        <w:spacing w:line="24" w:lineRule="atLeast"/>
        <w:jc w:val="left"/>
        <w:rPr>
          <w:rFonts w:ascii="宋体" w:hAnsi="宋体" w:eastAsia="宋体" w:cs="宋体"/>
          <w:szCs w:val="21"/>
        </w:rPr>
      </w:pPr>
    </w:p>
    <w:p>
      <w:pPr>
        <w:widowControl/>
        <w:spacing w:line="24" w:lineRule="atLeast"/>
        <w:ind w:firstLine="421"/>
        <w:jc w:val="left"/>
        <w:rPr>
          <w:rFonts w:ascii="宋体" w:hAnsi="宋体" w:eastAsia="宋体" w:cs="宋体"/>
          <w:bCs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bCs/>
          <w:color w:val="000000"/>
          <w:kern w:val="0"/>
          <w:szCs w:val="21"/>
        </w:rPr>
        <w:t>✔  确认包装无明显受损,对照(装箱清单)核对组件齐全完好.</w:t>
      </w:r>
    </w:p>
    <w:p>
      <w:pPr>
        <w:widowControl/>
        <w:spacing w:line="24" w:lineRule="atLeast"/>
        <w:ind w:firstLine="420" w:firstLineChars="200"/>
        <w:jc w:val="left"/>
        <w:rPr>
          <w:rFonts w:ascii="宋体" w:hAnsi="宋体" w:eastAsia="宋体" w:cs="宋体"/>
          <w:bCs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Cs/>
          <w:color w:val="000000"/>
          <w:kern w:val="0"/>
          <w:szCs w:val="21"/>
        </w:rPr>
        <w:t>✔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</w:rPr>
        <w:t xml:space="preserve">  产品组件若有遗失或损坏,请立即与运输公司联系（需有包装原件及设备代码，方可退换）。</w:t>
      </w:r>
    </w:p>
    <w:p>
      <w:pPr>
        <w:widowControl/>
        <w:spacing w:line="24" w:lineRule="atLeast"/>
        <w:ind w:firstLine="420" w:firstLineChars="200"/>
        <w:jc w:val="left"/>
        <w:rPr>
          <w:rFonts w:ascii="宋体" w:hAnsi="宋体" w:eastAsia="宋体" w:cs="宋体"/>
          <w:bCs/>
          <w:color w:val="000000"/>
          <w:kern w:val="0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✔  </w:t>
      </w:r>
      <w:r>
        <w:rPr>
          <w:rFonts w:hint="eastAsia" w:ascii="宋体" w:hAnsi="宋体" w:eastAsia="宋体" w:cs="宋体"/>
          <w:bCs/>
          <w:color w:val="000000"/>
          <w:kern w:val="0"/>
          <w:szCs w:val="21"/>
        </w:rPr>
        <w:t>请妥善保管原包装盒及包装材料以备后需运输时使用。</w:t>
      </w:r>
    </w:p>
    <w:p>
      <w:pPr>
        <w:widowControl/>
        <w:spacing w:line="24" w:lineRule="atLeast"/>
        <w:ind w:firstLine="420" w:firstLineChars="200"/>
        <w:jc w:val="left"/>
      </w:pPr>
      <w:r>
        <w:rPr>
          <w:rFonts w:hint="eastAsia" w:ascii="宋体" w:hAnsi="宋体" w:eastAsia="宋体" w:cs="宋体"/>
          <w:bCs/>
          <w:color w:val="000000"/>
          <w:kern w:val="0"/>
          <w:szCs w:val="21"/>
        </w:rPr>
        <w:t>✔  上述图片仅供参考。</w:t>
      </w:r>
    </w:p>
    <w:p>
      <w:pPr>
        <w:spacing w:line="24" w:lineRule="atLeast"/>
      </w:pPr>
    </w:p>
    <w:p>
      <w:pPr>
        <w:spacing w:line="24" w:lineRule="atLeast"/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E9AE6E"/>
    <w:multiLevelType w:val="singleLevel"/>
    <w:tmpl w:val="BFE9AE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c4MDMzNzFkZTQ4MTFlMzBmNmJkMjI0ZWJhYzQ0NGMifQ=="/>
  </w:docVars>
  <w:rsids>
    <w:rsidRoot w:val="6C7874D7"/>
    <w:rsid w:val="00142FB3"/>
    <w:rsid w:val="003F0A55"/>
    <w:rsid w:val="004A2EFA"/>
    <w:rsid w:val="005232C2"/>
    <w:rsid w:val="00626B5C"/>
    <w:rsid w:val="006A04DB"/>
    <w:rsid w:val="00713264"/>
    <w:rsid w:val="00A34F47"/>
    <w:rsid w:val="00B26159"/>
    <w:rsid w:val="00BA157C"/>
    <w:rsid w:val="00C65CAC"/>
    <w:rsid w:val="00CB7696"/>
    <w:rsid w:val="00D352E0"/>
    <w:rsid w:val="00DE4677"/>
    <w:rsid w:val="00E50FEE"/>
    <w:rsid w:val="00ED2A85"/>
    <w:rsid w:val="033A3852"/>
    <w:rsid w:val="045B1517"/>
    <w:rsid w:val="065726D3"/>
    <w:rsid w:val="0AD41826"/>
    <w:rsid w:val="0B29539F"/>
    <w:rsid w:val="0D4828DF"/>
    <w:rsid w:val="0E0E7830"/>
    <w:rsid w:val="127B5657"/>
    <w:rsid w:val="155F78E3"/>
    <w:rsid w:val="163F60C9"/>
    <w:rsid w:val="17975812"/>
    <w:rsid w:val="1DCE0794"/>
    <w:rsid w:val="271A1291"/>
    <w:rsid w:val="2A2B739C"/>
    <w:rsid w:val="302100FF"/>
    <w:rsid w:val="32231850"/>
    <w:rsid w:val="32B82CF2"/>
    <w:rsid w:val="35363BDA"/>
    <w:rsid w:val="35431801"/>
    <w:rsid w:val="35D47A5F"/>
    <w:rsid w:val="382151DF"/>
    <w:rsid w:val="3B02304A"/>
    <w:rsid w:val="3CB63862"/>
    <w:rsid w:val="3DC41242"/>
    <w:rsid w:val="46E6047B"/>
    <w:rsid w:val="46EE513F"/>
    <w:rsid w:val="48161552"/>
    <w:rsid w:val="48A1256D"/>
    <w:rsid w:val="496576BD"/>
    <w:rsid w:val="50226C9E"/>
    <w:rsid w:val="51F538A6"/>
    <w:rsid w:val="55863370"/>
    <w:rsid w:val="568926F9"/>
    <w:rsid w:val="5F86633C"/>
    <w:rsid w:val="5FA36AB1"/>
    <w:rsid w:val="600D2ACB"/>
    <w:rsid w:val="60C653B9"/>
    <w:rsid w:val="64412342"/>
    <w:rsid w:val="65C865F8"/>
    <w:rsid w:val="676D7E98"/>
    <w:rsid w:val="69934F73"/>
    <w:rsid w:val="6AA06A0F"/>
    <w:rsid w:val="6C7874D7"/>
    <w:rsid w:val="709140FD"/>
    <w:rsid w:val="73C05D14"/>
    <w:rsid w:val="767B4C29"/>
    <w:rsid w:val="7761081E"/>
    <w:rsid w:val="79E918F8"/>
    <w:rsid w:val="7E67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_Style 11"/>
    <w:basedOn w:val="1"/>
    <w:next w:val="10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14">
    <w:name w:val="页眉 字符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7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glossaryDocument" Target="glossary/document.xml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3a0d301-3ad7-4e6e-b011-c3ca049d57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A0D301-3AD7-4E6E-B011-C3CA049D57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2e7afc-5553-473a-b438-7011aeb61df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2E7AFC-5553-473A-B438-7011AEB61DF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0d6afc-fa16-4427-9682-113cd4c7f9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0D6AFC-FA16-4427-9682-113CD4C7F9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959831-7faf-4234-a06b-2b8db6e7fd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959831-7FAF-4234-A06B-2B8DB6E7FD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3b0dc6-6cd0-4685-b420-d00657887b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3B0DC6-6CD0-4685-B420-D00657887B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01d515-2b94-48fc-80cd-e8305ff001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01D515-2B94-48FC-80CD-E8305FF001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808bd5-ceaa-4a81-a483-03a9773055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808BD5-CEAA-4A81-A483-03A9773055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1d3f76-df3b-4bfa-b088-54d5ffe8bc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1D3F76-DF3B-4BFA-B088-54D5FFE8BC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89a3e1-04d3-4dec-80b5-736e2a0e6a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89A3E1-04D3-4DEC-80B5-736E2A0E6A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310c1e-39ce-444c-9488-d278e73936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310C1E-39CE-444C-9488-D278E73936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825087-52ab-436a-9314-5d64fdba24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825087-52AB-436A-9314-5D64FDBA24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99bd62-1faf-4ede-b9fb-483472ed43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99BD62-1FAF-4EDE-B9FB-483472ED43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0853e3-b9dc-48a8-bf66-6e75173c06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0853E3-B9DC-48A8-BF66-6E75173C06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cee207-ded1-4fef-8f91-2e3e1f776f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CEE207-DED1-4FEF-8F91-2E3E1F776F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00c0c4-d75a-4d0c-8e70-1c6493bab2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00C0C4-D75A-4D0C-8E70-1C6493BAB2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99a905-3cbe-4f41-ac31-b123df4a12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99A905-3CBE-4F41-AC31-B123DF4A12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f29267-91cc-4479-ae37-3534ff117ea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F29267-91CC-4479-AE37-3534FF117EA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e8ef68-56ce-4102-a2fa-2deaebc348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E8EF68-56CE-4102-A2FA-2DEAEBC348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e81aee-c6e9-4302-bbd1-627eb99f2f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E81AEE-C6E9-4302-BBD1-627EB99F2F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characterSpacingControl w:val="doNotCompress"/>
  <w:compat>
    <w:useFELayout/>
    <w:splitPgBreakAndParaMark/>
    <w:compatSetting w:name="compatibilityMode" w:uri="http://schemas.microsoft.com/office/word" w:val="14"/>
  </w:compat>
  <w:rsids>
    <w:rsidRoot w:val="00F52CC8"/>
    <w:rsid w:val="008C09FC"/>
    <w:rsid w:val="00F52CC8"/>
    <w:rsid w:val="00F7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2859</Words>
  <Characters>3039</Characters>
  <Lines>31</Lines>
  <Paragraphs>8</Paragraphs>
  <TotalTime>44</TotalTime>
  <ScaleCrop>false</ScaleCrop>
  <LinksUpToDate>false</LinksUpToDate>
  <CharactersWithSpaces>3274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2023-03-07T07:48:00Z</dcterms:created>
  <dc:creator>Administrator</dc:creator>
  <cp:lastModifiedBy>好名字</cp:lastModifiedBy>
  <dcterms:modified xsi:type="dcterms:W3CDTF">2023-05-11T11:16:06Z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DC5D8FCEFCEB4424BC105105B775CE80_12</vt:lpwstr>
  </property>
</Properties>
</file>