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5000000">
      <w:pPr>
        <w:spacing w:line="240" w:lineRule="auto"/>
        <w:ind w:firstLine="0" w:left="0" w:right="-2"/>
        <w:jc w:val="center"/>
      </w:pPr>
    </w:p>
    <w:p w14:paraId="06000000">
      <w:pPr>
        <w:spacing w:line="240" w:lineRule="auto"/>
        <w:ind w:firstLine="0" w:left="0" w:right="-2"/>
        <w:jc w:val="center"/>
      </w:pPr>
    </w:p>
    <w:p w14:paraId="07000000">
      <w:pPr>
        <w:spacing w:line="240" w:lineRule="auto"/>
        <w:ind w:firstLine="0" w:left="0" w:right="-2"/>
      </w:pPr>
    </w:p>
    <w:p w14:paraId="08000000">
      <w:pPr>
        <w:spacing w:line="240" w:lineRule="auto"/>
        <w:ind w:firstLine="0" w:left="0" w:right="-2"/>
        <w:jc w:val="center"/>
      </w:pPr>
    </w:p>
    <w:p w14:paraId="09000000">
      <w:pPr>
        <w:spacing w:line="240" w:lineRule="auto"/>
        <w:ind w:firstLine="0" w:left="0" w:right="-2"/>
        <w:jc w:val="center"/>
      </w:pPr>
      <w:r>
        <w:t xml:space="preserve">Федеральное государственное образовательное бюджетное </w:t>
      </w:r>
    </w:p>
    <w:p w14:paraId="0A000000">
      <w:pPr>
        <w:spacing w:line="240" w:lineRule="auto"/>
        <w:ind w:firstLine="0" w:left="0" w:right="-2"/>
        <w:jc w:val="center"/>
      </w:pPr>
      <w:r>
        <w:t>учреждение высшего образования</w:t>
      </w:r>
    </w:p>
    <w:p w14:paraId="0B000000">
      <w:pPr>
        <w:spacing w:line="240" w:lineRule="auto"/>
        <w:ind w:firstLine="0" w:left="0" w:right="-2"/>
        <w:jc w:val="center"/>
        <w:rPr>
          <w:b w:val="1"/>
        </w:rPr>
      </w:pPr>
    </w:p>
    <w:p w14:paraId="0C000000">
      <w:pPr>
        <w:spacing w:line="240" w:lineRule="auto"/>
        <w:ind w:firstLine="0" w:left="0" w:right="-2"/>
        <w:jc w:val="center"/>
        <w:rPr>
          <w:b w:val="1"/>
        </w:rPr>
      </w:pPr>
      <w:r>
        <w:rPr>
          <w:b w:val="1"/>
        </w:rPr>
        <w:t>«ФИНАНСОВЫЙ УНИВЕРСИТЕТ ПРИ ПРАВИТЕЛЬСТВЕ</w:t>
      </w:r>
    </w:p>
    <w:p w14:paraId="0D000000">
      <w:pPr>
        <w:spacing w:line="240" w:lineRule="auto"/>
        <w:ind w:firstLine="0" w:left="0" w:right="-2"/>
        <w:jc w:val="center"/>
        <w:rPr>
          <w:b w:val="1"/>
        </w:rPr>
      </w:pPr>
      <w:r>
        <w:rPr>
          <w:b w:val="1"/>
        </w:rPr>
        <w:t>РОССИЙСКОЙ ФЕДЕРАЦИИ»</w:t>
      </w:r>
    </w:p>
    <w:p w14:paraId="0E000000">
      <w:pPr>
        <w:spacing w:line="240" w:lineRule="auto"/>
        <w:ind w:firstLine="0" w:left="0" w:right="-2"/>
        <w:jc w:val="center"/>
        <w:rPr>
          <w:b w:val="1"/>
        </w:rPr>
      </w:pPr>
      <w:r>
        <w:rPr>
          <w:b w:val="1"/>
        </w:rPr>
        <w:t>(Финансовый университет)</w:t>
      </w:r>
    </w:p>
    <w:p w14:paraId="0F000000">
      <w:pPr>
        <w:spacing w:line="240" w:lineRule="auto"/>
        <w:ind w:firstLine="0" w:left="0" w:right="-2"/>
        <w:jc w:val="center"/>
        <w:rPr>
          <w:b w:val="1"/>
        </w:rPr>
      </w:pPr>
    </w:p>
    <w:p w14:paraId="10000000">
      <w:pPr>
        <w:spacing w:line="240" w:lineRule="auto"/>
        <w:ind w:firstLine="0" w:left="0" w:right="-2"/>
        <w:jc w:val="center"/>
        <w:rPr>
          <w:b w:val="1"/>
        </w:rPr>
      </w:pPr>
      <w:r>
        <w:rPr>
          <w:b w:val="1"/>
        </w:rPr>
        <w:t>Институт развития профессиональных</w:t>
      </w:r>
    </w:p>
    <w:p w14:paraId="11000000">
      <w:pPr>
        <w:spacing w:line="240" w:lineRule="auto"/>
        <w:ind w:firstLine="0" w:left="0" w:right="-2"/>
        <w:jc w:val="center"/>
        <w:rPr>
          <w:b w:val="1"/>
        </w:rPr>
      </w:pPr>
      <w:r>
        <w:rPr>
          <w:b w:val="1"/>
        </w:rPr>
        <w:t>компетенций и квалификаций</w:t>
      </w:r>
    </w:p>
    <w:p w14:paraId="12000000">
      <w:pPr>
        <w:spacing w:line="240" w:lineRule="auto"/>
        <w:ind w:firstLine="0" w:left="0" w:right="-2"/>
        <w:jc w:val="center"/>
        <w:rPr>
          <w:b w:val="1"/>
        </w:rPr>
      </w:pPr>
    </w:p>
    <w:p w14:paraId="13000000">
      <w:pPr>
        <w:spacing w:line="240" w:lineRule="auto"/>
        <w:ind w:firstLine="0" w:left="0" w:right="-2"/>
        <w:jc w:val="center"/>
        <w:rPr>
          <w:b w:val="1"/>
        </w:rPr>
      </w:pPr>
    </w:p>
    <w:p w14:paraId="14000000">
      <w:pPr>
        <w:spacing w:line="240" w:lineRule="auto"/>
        <w:ind w:firstLine="0" w:left="0" w:right="-2"/>
        <w:jc w:val="center"/>
        <w:rPr>
          <w:b w:val="1"/>
        </w:rPr>
      </w:pPr>
    </w:p>
    <w:p w14:paraId="15000000">
      <w:pPr>
        <w:spacing w:line="240" w:lineRule="auto"/>
        <w:ind w:firstLine="0" w:left="0" w:right="-2"/>
        <w:jc w:val="center"/>
        <w:rPr>
          <w:b w:val="1"/>
        </w:rPr>
      </w:pPr>
    </w:p>
    <w:p w14:paraId="16000000">
      <w:pPr>
        <w:spacing w:line="240" w:lineRule="auto"/>
        <w:ind w:firstLine="0" w:left="0" w:right="-2"/>
        <w:jc w:val="center"/>
        <w:rPr>
          <w:b w:val="1"/>
        </w:rPr>
      </w:pPr>
    </w:p>
    <w:p w14:paraId="17000000">
      <w:pPr>
        <w:spacing w:line="240" w:lineRule="auto"/>
        <w:ind w:firstLine="0" w:left="0" w:right="-2"/>
        <w:jc w:val="center"/>
        <w:rPr>
          <w:b w:val="1"/>
          <w:sz w:val="32"/>
        </w:rPr>
      </w:pPr>
      <w:r>
        <w:rPr>
          <w:b w:val="1"/>
          <w:sz w:val="32"/>
        </w:rPr>
        <w:t>ИТОГОВАЯ РАБОТА</w:t>
      </w:r>
    </w:p>
    <w:p w14:paraId="18000000">
      <w:pPr>
        <w:spacing w:line="240" w:lineRule="auto"/>
        <w:ind w:firstLine="0" w:left="0" w:right="-2"/>
        <w:jc w:val="center"/>
        <w:rPr>
          <w:b w:val="1"/>
        </w:rPr>
      </w:pPr>
    </w:p>
    <w:p w14:paraId="19000000">
      <w:pPr>
        <w:spacing w:line="240" w:lineRule="auto"/>
        <w:ind w:firstLine="0" w:left="0" w:right="-2"/>
        <w:jc w:val="center"/>
        <w:rPr>
          <w:b w:val="1"/>
        </w:rPr>
      </w:pPr>
    </w:p>
    <w:p w14:paraId="1A000000">
      <w:pPr>
        <w:spacing w:line="240" w:lineRule="auto"/>
        <w:ind w:firstLine="0" w:left="0" w:right="-2"/>
        <w:jc w:val="center"/>
        <w:rPr>
          <w:b w:val="1"/>
        </w:rPr>
      </w:pPr>
    </w:p>
    <w:p w14:paraId="1B000000">
      <w:pPr>
        <w:spacing w:line="240" w:lineRule="auto"/>
        <w:ind w:firstLine="0" w:left="0" w:right="-2"/>
        <w:jc w:val="center"/>
        <w:rPr>
          <w:b w:val="1"/>
        </w:rPr>
      </w:pPr>
    </w:p>
    <w:tbl>
      <w:tblPr>
        <w:tblStyle w:val="Style_3"/>
        <w:tblInd w:type="dxa" w:w="704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2835"/>
        <w:gridCol w:w="6095"/>
      </w:tblGrid>
      <w:tr>
        <w:trPr>
          <w:trHeight w:hRule="atLeast" w:val="433"/>
        </w:trPr>
        <w:tc>
          <w:tcPr>
            <w:tcW w:type="dxa" w:w="28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C000000">
            <w:pPr>
              <w:spacing w:line="240" w:lineRule="auto"/>
              <w:ind w:firstLine="0" w:left="0" w:right="-2"/>
              <w:jc w:val="center"/>
            </w:pPr>
            <w:r>
              <w:t>Название программы</w:t>
            </w:r>
          </w:p>
        </w:tc>
        <w:tc>
          <w:tcPr>
            <w:tcW w:type="dxa" w:w="6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D000000">
            <w:pPr>
              <w:spacing w:line="240" w:lineRule="auto"/>
              <w:ind w:firstLine="0" w:left="0" w:right="-2"/>
              <w:jc w:val="center"/>
              <w:rPr>
                <w:b w:val="1"/>
              </w:rPr>
            </w:pPr>
            <w:r>
              <w:rPr>
                <w:b w:val="1"/>
              </w:rPr>
              <w:t>«</w:t>
            </w:r>
            <w:r>
              <w:rPr>
                <w:b w:val="1"/>
              </w:rPr>
              <w:t>Аналитик данных</w:t>
            </w:r>
            <w:r>
              <w:rPr>
                <w:b w:val="1"/>
              </w:rPr>
              <w:t>»</w:t>
            </w:r>
          </w:p>
        </w:tc>
      </w:tr>
      <w:tr>
        <w:trPr>
          <w:trHeight w:hRule="atLeast" w:val="433"/>
        </w:trPr>
        <w:tc>
          <w:tcPr>
            <w:tcW w:type="dxa" w:w="28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E000000">
            <w:pPr>
              <w:spacing w:line="240" w:lineRule="auto"/>
              <w:ind w:firstLine="0" w:left="0" w:right="-2"/>
              <w:jc w:val="center"/>
            </w:pPr>
            <w:r>
              <w:t>Группа обучения</w:t>
            </w:r>
          </w:p>
        </w:tc>
        <w:tc>
          <w:tcPr>
            <w:tcW w:type="dxa" w:w="6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F000000">
            <w:pPr>
              <w:spacing w:line="240" w:lineRule="auto"/>
              <w:ind w:firstLine="0" w:left="0" w:right="-2"/>
              <w:jc w:val="center"/>
              <w:rPr>
                <w:b w:val="1"/>
              </w:rPr>
            </w:pPr>
            <w:r>
              <w:rPr>
                <w:b w:val="1"/>
              </w:rPr>
              <w:t>«</w:t>
            </w:r>
            <w:r>
              <w:rPr>
                <w:b w:val="1"/>
              </w:rPr>
              <w:t>AD│8│01.10.25│VNIIT (Москва)</w:t>
            </w:r>
            <w:r>
              <w:rPr>
                <w:b w:val="1"/>
              </w:rPr>
              <w:t>»</w:t>
            </w:r>
          </w:p>
        </w:tc>
      </w:tr>
      <w:tr>
        <w:trPr>
          <w:trHeight w:hRule="atLeast" w:val="395"/>
        </w:trPr>
        <w:tc>
          <w:tcPr>
            <w:tcW w:type="dxa" w:w="28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0000000">
            <w:pPr>
              <w:spacing w:line="240" w:lineRule="auto"/>
              <w:ind w:firstLine="0" w:left="0" w:right="-2"/>
              <w:jc w:val="center"/>
            </w:pPr>
            <w:r>
              <w:t>Срок обучения</w:t>
            </w:r>
          </w:p>
        </w:tc>
        <w:tc>
          <w:tcPr>
            <w:tcW w:type="dxa" w:w="6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1000000">
            <w:pPr>
              <w:spacing w:line="240" w:lineRule="auto"/>
              <w:ind w:firstLine="0" w:left="0" w:right="-2"/>
              <w:jc w:val="center"/>
              <w:rPr>
                <w:b w:val="1"/>
              </w:rPr>
            </w:pPr>
            <w:r>
              <w:rPr>
                <w:b w:val="1"/>
              </w:rPr>
              <w:t>«</w:t>
            </w:r>
            <w:r>
              <w:rPr>
                <w:b w:val="1"/>
              </w:rPr>
              <w:t>с 01.10.2025 г. по 27.11.2025 г.</w:t>
            </w:r>
            <w:r>
              <w:rPr>
                <w:b w:val="1"/>
              </w:rPr>
              <w:t>»</w:t>
            </w:r>
          </w:p>
        </w:tc>
      </w:tr>
      <w:tr>
        <w:trPr>
          <w:trHeight w:hRule="atLeast" w:val="573"/>
        </w:trPr>
        <w:tc>
          <w:tcPr>
            <w:tcW w:type="dxa" w:w="8930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2000000">
            <w:pPr>
              <w:spacing w:line="240" w:lineRule="auto"/>
              <w:ind w:firstLine="0" w:left="0" w:right="-2"/>
              <w:jc w:val="center"/>
              <w:rPr>
                <w:b w:val="1"/>
              </w:rPr>
            </w:pPr>
            <w:r>
              <w:rPr>
                <w:b w:val="1"/>
              </w:rPr>
              <w:t>«‎</w:t>
            </w:r>
            <w:r>
              <w:rPr>
                <w:b w:val="1"/>
              </w:rPr>
              <w:t>Кулишкин Николай Владимирович</w:t>
            </w:r>
            <w:r>
              <w:rPr>
                <w:b w:val="1"/>
              </w:rPr>
              <w:t>»</w:t>
            </w:r>
          </w:p>
        </w:tc>
      </w:tr>
      <w:tr>
        <w:trPr>
          <w:trHeight w:hRule="atLeast" w:val="357"/>
        </w:trPr>
        <w:tc>
          <w:tcPr>
            <w:tcW w:type="dxa" w:w="28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3000000">
            <w:pPr>
              <w:spacing w:line="240" w:lineRule="auto"/>
              <w:ind w:firstLine="0" w:left="0" w:right="-2"/>
              <w:jc w:val="center"/>
            </w:pPr>
            <w:r>
              <w:t>Номер/Название Датасета</w:t>
            </w:r>
          </w:p>
        </w:tc>
        <w:tc>
          <w:tcPr>
            <w:tcW w:type="dxa" w:w="6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4000000">
            <w:pPr>
              <w:spacing w:line="240" w:lineRule="auto"/>
              <w:ind w:firstLine="0" w:left="0" w:right="-2"/>
              <w:jc w:val="center"/>
              <w:rPr>
                <w:b w:val="1"/>
              </w:rPr>
            </w:pPr>
            <w:r>
              <w:rPr>
                <w:b w:val="1"/>
              </w:rPr>
              <w:t>«</w:t>
            </w:r>
            <w:r>
              <w:rPr>
                <w:b w:val="1"/>
              </w:rPr>
              <w:t>winequality-red.csv</w:t>
            </w:r>
            <w:r>
              <w:rPr>
                <w:b w:val="1"/>
              </w:rPr>
              <w:t>»</w:t>
            </w:r>
          </w:p>
        </w:tc>
      </w:tr>
    </w:tbl>
    <w:p w14:paraId="25000000">
      <w:pPr>
        <w:spacing w:line="240" w:lineRule="auto"/>
        <w:ind w:firstLine="0" w:left="0" w:right="-2"/>
        <w:jc w:val="center"/>
        <w:rPr>
          <w:b w:val="1"/>
        </w:rPr>
      </w:pPr>
    </w:p>
    <w:p w14:paraId="26000000">
      <w:pPr>
        <w:spacing w:line="240" w:lineRule="auto"/>
        <w:ind w:firstLine="0" w:left="0" w:right="-2"/>
        <w:jc w:val="left"/>
      </w:pPr>
    </w:p>
    <w:p w14:paraId="27000000">
      <w:pPr>
        <w:spacing w:line="240" w:lineRule="auto"/>
        <w:ind w:firstLine="0" w:left="0" w:right="-1418"/>
        <w:jc w:val="left"/>
      </w:pPr>
    </w:p>
    <w:p w14:paraId="28000000">
      <w:pPr>
        <w:spacing w:line="240" w:lineRule="auto"/>
        <w:ind w:firstLine="708" w:left="1418" w:right="-1418"/>
        <w:jc w:val="left"/>
      </w:pPr>
    </w:p>
    <w:p w14:paraId="29000000">
      <w:pPr>
        <w:spacing w:line="240" w:lineRule="auto"/>
        <w:ind w:firstLine="708" w:left="1418" w:right="-1418"/>
        <w:jc w:val="left"/>
      </w:pPr>
    </w:p>
    <w:p w14:paraId="2A000000">
      <w:pPr>
        <w:spacing w:line="240" w:lineRule="auto"/>
        <w:ind w:firstLine="708" w:left="1418" w:right="-1418"/>
        <w:jc w:val="left"/>
      </w:pPr>
    </w:p>
    <w:p w14:paraId="2B000000">
      <w:pPr>
        <w:spacing w:line="240" w:lineRule="auto"/>
        <w:ind w:firstLine="0" w:left="0" w:right="-1418"/>
        <w:jc w:val="left"/>
      </w:pPr>
    </w:p>
    <w:p w14:paraId="2C000000">
      <w:pPr>
        <w:spacing w:line="240" w:lineRule="auto"/>
        <w:ind w:firstLine="708" w:left="1418" w:right="-1418"/>
        <w:jc w:val="left"/>
      </w:pPr>
    </w:p>
    <w:p w14:paraId="2D000000">
      <w:pPr>
        <w:spacing w:line="240" w:lineRule="auto"/>
        <w:ind w:firstLine="708" w:left="1418" w:right="-1418"/>
        <w:jc w:val="left"/>
      </w:pPr>
    </w:p>
    <w:p w14:paraId="2E000000">
      <w:pPr>
        <w:spacing w:line="240" w:lineRule="auto"/>
        <w:ind w:firstLine="708" w:left="1418" w:right="-1418"/>
        <w:jc w:val="left"/>
      </w:pPr>
    </w:p>
    <w:p w14:paraId="2F000000">
      <w:pPr>
        <w:spacing w:line="240" w:lineRule="auto"/>
        <w:ind w:firstLine="708" w:left="1418" w:right="-1418"/>
        <w:jc w:val="left"/>
      </w:pPr>
    </w:p>
    <w:p w14:paraId="30000000">
      <w:pPr>
        <w:spacing w:line="240" w:lineRule="auto"/>
        <w:ind w:firstLine="708" w:left="1418" w:right="-1418"/>
        <w:jc w:val="left"/>
      </w:pPr>
    </w:p>
    <w:p w14:paraId="31000000">
      <w:pPr>
        <w:spacing w:line="240" w:lineRule="auto"/>
        <w:ind w:firstLine="708" w:left="1418" w:right="-1418"/>
        <w:jc w:val="left"/>
      </w:pPr>
    </w:p>
    <w:p w14:paraId="32000000">
      <w:pPr>
        <w:spacing w:line="240" w:lineRule="auto"/>
        <w:ind w:firstLine="708" w:left="1418" w:right="-1418"/>
        <w:jc w:val="left"/>
      </w:pPr>
    </w:p>
    <w:p w14:paraId="33000000">
      <w:pPr>
        <w:spacing w:line="240" w:lineRule="auto"/>
        <w:ind w:firstLine="0" w:left="0" w:right="-2"/>
        <w:jc w:val="center"/>
      </w:pPr>
      <w:r>
        <w:t>Москва 20</w:t>
      </w:r>
      <w:r>
        <w:t>25</w:t>
      </w:r>
      <w:r>
        <w:t xml:space="preserve"> г.</w:t>
      </w:r>
    </w:p>
    <w:p w14:paraId="34000000">
      <w:pPr>
        <w:ind w:firstLine="1134" w:left="0"/>
      </w:pPr>
      <w:r>
        <w:br w:type="page"/>
      </w:r>
    </w:p>
    <w:p w14:paraId="35000000">
      <w:pPr>
        <w:rPr>
          <w:b w:val="1"/>
        </w:rPr>
      </w:pPr>
      <w:r>
        <w:rPr>
          <w:b w:val="1"/>
        </w:rPr>
        <w:t>Ссылка на исходные данные:</w:t>
      </w:r>
    </w:p>
    <w:p w14:paraId="36000000">
      <w:r>
        <w:t>https://www.kaggle.com/datasets/maitree/wine-quality-selection?select=winequality-red.csv</w:t>
      </w:r>
    </w:p>
    <w:p w14:paraId="37000000">
      <w:pPr>
        <w:rPr>
          <w:b w:val="1"/>
        </w:rPr>
      </w:pPr>
      <w:r>
        <w:rPr>
          <w:b w:val="1"/>
        </w:rPr>
        <w:t>Ссылка на файл Google Colab:</w:t>
      </w:r>
    </w:p>
    <w:p w14:paraId="38000000">
      <w:r>
        <w:rPr>
          <w:rStyle w:val="Style_4_ch"/>
        </w:rPr>
        <w:fldChar w:fldCharType="begin"/>
      </w:r>
      <w:r>
        <w:rPr>
          <w:rStyle w:val="Style_4_ch"/>
        </w:rPr>
        <w:instrText>HYPERLINK "https://drive.google.com/file/d/1EPqLSyGJG2Y83Z451OdntfwJyOdRYG-0/view?usp=sharing"</w:instrText>
      </w:r>
      <w:r>
        <w:rPr>
          <w:rStyle w:val="Style_4_ch"/>
        </w:rPr>
        <w:fldChar w:fldCharType="separate"/>
      </w:r>
      <w:r>
        <w:rPr>
          <w:rStyle w:val="Style_4_ch"/>
        </w:rPr>
        <w:t>https://drive.google.com/file/d/1EPqLSyGJG2Y83Z451OdntfwJyOdRYG-0/view?usp=sharing</w:t>
      </w:r>
      <w:r>
        <w:rPr>
          <w:rStyle w:val="Style_4_ch"/>
        </w:rPr>
        <w:fldChar w:fldCharType="end"/>
      </w:r>
    </w:p>
    <w:p w14:paraId="39000000">
      <w:r>
        <w:rPr>
          <w:b w:val="1"/>
        </w:rPr>
        <w:t>Ссылка на файл Github:</w:t>
      </w:r>
    </w:p>
    <w:p w14:paraId="3A000000">
      <w:r>
        <w:rPr>
          <w:rStyle w:val="Style_4_ch"/>
        </w:rPr>
        <w:fldChar w:fldCharType="begin"/>
      </w:r>
      <w:r>
        <w:rPr>
          <w:rStyle w:val="Style_4_ch"/>
        </w:rPr>
        <w:instrText>HYPERLINK "https://github.com/nk-mobile/data_analytics_fa"</w:instrText>
      </w:r>
      <w:r>
        <w:rPr>
          <w:rStyle w:val="Style_4_ch"/>
        </w:rPr>
        <w:fldChar w:fldCharType="separate"/>
      </w:r>
      <w:r>
        <w:rPr>
          <w:rStyle w:val="Style_4_ch"/>
        </w:rPr>
        <w:t>https://github.com/nk-mobile/data_analytics_fa</w:t>
      </w:r>
      <w:r>
        <w:rPr>
          <w:rStyle w:val="Style_4_ch"/>
        </w:rPr>
        <w:fldChar w:fldCharType="end"/>
      </w:r>
    </w:p>
    <w:p w14:paraId="3B000000"/>
    <w:p w14:paraId="3C000000">
      <w:r>
        <w:rPr>
          <w:b w:val="1"/>
        </w:rPr>
        <w:t>Основная цель -</w:t>
      </w:r>
      <w:r>
        <w:t xml:space="preserve"> выявить ключевые химические факторы, связанные с качеством вина, и продемонстрировать это через корреляционный анализ и визуализации, включая классические и производные признаки, основанные на кислотности и сахарах. </w:t>
      </w:r>
    </w:p>
    <w:p w14:paraId="3D000000">
      <w:r>
        <w:rPr>
          <w:b w:val="1"/>
        </w:rPr>
        <w:t>Входные данные -</w:t>
      </w:r>
      <w:r>
        <w:t xml:space="preserve"> датасет winequality-red.csv с 1599 наблюдениями и 12 исходными числовыми признаками (химические параметры) и целевой меткой quality, без пропущенных значений и с качеством в диапазоне от 3 до 8, где доминируют классы 5 и 6.</w:t>
      </w:r>
    </w:p>
    <w:p w14:paraId="3E000000">
      <w:pPr>
        <w:rPr>
          <w:b w:val="1"/>
        </w:rPr>
      </w:pPr>
      <w:r>
        <w:rPr>
          <w:b w:val="1"/>
        </w:rPr>
        <w:t>Перевод и описание полей:</w:t>
      </w:r>
    </w:p>
    <w:p w14:paraId="3F000000">
      <w:r>
        <w:t>fixed acidity - фиксированная кислотность: в основном винная, яблочная и другие нелетучие органические кислоты; г/дм³ (то же, что г/л).</w:t>
      </w:r>
    </w:p>
    <w:p w14:paraId="40000000">
      <w:r>
        <w:t>volatile acidity - летучая кислотность: преимущественно уксусная кислота, излишек даёт уксусный тон; г/дм³.</w:t>
      </w:r>
    </w:p>
    <w:p w14:paraId="41000000">
      <w:r>
        <w:t>citric acid - лимонная кислота: добавляет свежесть и «тело»; г/дм³.</w:t>
      </w:r>
    </w:p>
    <w:p w14:paraId="42000000">
      <w:r>
        <w:t>residual sugar - остаточный сахар: невысокие значения типичны для сухих вин; г/дм³.</w:t>
      </w:r>
    </w:p>
    <w:p w14:paraId="43000000">
      <w:r>
        <w:t>chlorides - хлориды: массовая доля хлорид-ионов, высокие значения ухудшают вкус; г/дм³.</w:t>
      </w:r>
    </w:p>
    <w:p w14:paraId="44000000">
      <w:r>
        <w:t>free sulfur dioxide - свободный диоксид серы: активная форма SO</w:t>
      </w:r>
      <w:r>
        <w:rPr>
          <w:vertAlign w:val="subscript"/>
        </w:rPr>
        <w:t>2</w:t>
      </w:r>
      <w:r>
        <w:t>, защищает от окисления и микробов; мг/дм³.</w:t>
      </w:r>
    </w:p>
    <w:p w14:paraId="45000000">
      <w:r>
        <w:t>total sulfur dioxide - общий диоксид серы: сумма свободной и связанной форм; мг/дм³.</w:t>
      </w:r>
    </w:p>
    <w:p w14:paraId="46000000">
      <w:r>
        <w:t>density - плотность: сильно коррелирует с содержанием спирта и сахара; г/см³ (безразмерно близко к 1 для воды).</w:t>
      </w:r>
    </w:p>
    <w:p w14:paraId="47000000">
      <w:r>
        <w:t>​pH - pH: кислотность в логарифмической шкале; ниже - более кисло (типично ~2.9–3.9).</w:t>
      </w:r>
    </w:p>
    <w:p w14:paraId="48000000">
      <w:r>
        <w:t>​sulphates - сульфаты: сульфат-ион, влияет на SO</w:t>
      </w:r>
      <w:r>
        <w:rPr>
          <w:vertAlign w:val="subscript"/>
        </w:rPr>
        <w:t>2</w:t>
      </w:r>
      <w:r>
        <w:t xml:space="preserve"> и стабильность; г/дм³.</w:t>
      </w:r>
    </w:p>
    <w:p w14:paraId="49000000">
      <w:r>
        <w:t>​alcohol - спирт: объёмная доля этанола, обычно в % об.; более высокий уровень часто коррелирует с лучшей оценкой.</w:t>
      </w:r>
    </w:p>
    <w:p w14:paraId="4A000000">
      <w:r>
        <w:t>quality - качество: сенсорная оценка дегустаторов по шкале 0–10 (в датасете чаще 3–8); целевая переменная.​</w:t>
      </w:r>
    </w:p>
    <w:p w14:paraId="4B000000">
      <w:pPr>
        <w:spacing w:line="240" w:lineRule="auto"/>
        <w:ind w:firstLine="0" w:left="0" w:right="-2"/>
        <w:jc w:val="left"/>
      </w:pPr>
    </w:p>
    <w:p w14:paraId="4C000000">
      <w:pPr>
        <w:rPr>
          <w:b w:val="1"/>
        </w:rPr>
      </w:pPr>
      <w:r>
        <w:rPr>
          <w:b w:val="1"/>
        </w:rPr>
        <w:t>Структура и этапы</w:t>
      </w:r>
    </w:p>
    <w:p w14:paraId="4D000000">
      <w:pPr>
        <w:numPr>
          <w:numId w:val="1"/>
        </w:numPr>
      </w:pPr>
      <w:r>
        <w:t>Импорт библиотек для анализа данных и визуализации: pandas, numpy, matplotlib, seaborn, отключение предупреждений для чистоты вывода.[1]</w:t>
      </w:r>
    </w:p>
    <w:p w14:paraId="4E000000">
      <w:pPr>
        <w:numPr>
          <w:numId w:val="1"/>
        </w:numPr>
      </w:pPr>
      <w:r>
        <w:t>Загрузка набора данных из winequality-red.csv, вывод формы, первых строк, информации о типах столбцов, описательной статистики и распределения метки качества по значениям.[1]</w:t>
      </w:r>
    </w:p>
    <w:p w14:paraId="4F000000">
      <w:pPr>
        <w:numPr>
          <w:numId w:val="1"/>
        </w:numPr>
      </w:pPr>
      <w:r>
        <w:t>Первичный EDA через матрицу корреляций и специализированные графики: тепловая карта корреляций, barplot корреляций с quality, распределение классов quality, boxplot признаков по уровням качества, точечные диаграммы ключевых признаков против quality.[1]</w:t>
      </w:r>
    </w:p>
    <w:p w14:paraId="50000000">
      <w:pPr>
        <w:numPr>
          <w:numId w:val="1"/>
        </w:numPr>
      </w:pPr>
      <w:r>
        <w:t>Конструирование производных признаков, пересчет корреляций с включением новых метрик, и дополнительная визуализация для сопоставления этих признаков с quality, включая отдельные boxplot и комбинированный график линий по уровням качества с наложенной гистограммой частот quality.[1]</w:t>
      </w:r>
    </w:p>
    <w:p w14:paraId="51000000">
      <w:pPr>
        <w:rPr>
          <w:b w:val="1"/>
        </w:rPr>
      </w:pPr>
      <w:r>
        <w:rPr>
          <w:b w:val="1"/>
        </w:rPr>
        <w:t>Логика анализа</w:t>
      </w:r>
    </w:p>
    <w:p w14:paraId="52000000">
      <w:r>
        <w:t>Анализ строится от общей структуры данных к гипотезам о влияющих факторах: сначала проверяются масштабы и типы признаков, затем оцениваются линейные связи с целевой меткой через корреляции Пирсона и визуальную диагностику распределений. После базовой диагностики реализуется feature engineering, где создаются агрегаты кислотности и отношения, чтобы выделить относительные эффекты компонентов кислотности и их взаимодействие с остаточным сахаром, что позволяет уточнить интерпретации корреляций.[1]</w:t>
      </w:r>
    </w:p>
    <w:p w14:paraId="53000000">
      <w:pPr>
        <w:rPr>
          <w:b w:val="1"/>
        </w:rPr>
      </w:pPr>
      <w:r>
        <w:rPr>
          <w:b w:val="1"/>
        </w:rPr>
        <w:t>Ключевые функции и модели</w:t>
      </w:r>
    </w:p>
    <w:p w14:paraId="54000000">
      <w:r>
        <w:t>Модели машинного обучения не используются; акцент на статистическом анализе и визуальной аналитике, опирающейся на pandas для вычислений и seaborn/matplotlib для диаграмм. Ключевые операции включают вычисление корреляций Пирсона df.corr(), группировку и усреднение по quality, min–max нормализацию агрегатов для сопоставимых линий на одном графике, а также кастомизацию подписей и пределов осей для читаемости.[1]</w:t>
      </w:r>
    </w:p>
    <w:p w14:paraId="55000000">
      <w:pPr>
        <w:rPr>
          <w:b w:val="1"/>
        </w:rPr>
      </w:pPr>
      <w:r>
        <w:rPr>
          <w:b w:val="1"/>
        </w:rPr>
        <w:t>Основные находки</w:t>
      </w:r>
    </w:p>
    <w:p w14:paraId="56000000">
      <w:r>
        <w:t>Выраженная положительная связь качества с признаком alcohol и более умеренная - с sulphates и citric acid, при отрицательной связи с volatile acidity и total sulfur dioxide, что согласуется с известными домен-ожиданиями о влиянии спиртуозности и летучей кислотности на органолептическую оценку. Производные признаки подтверждают важность относительных соотношений кислот: метрики va_fraction и va_to_fa_ratio демонстрируют сильные связи по модулю с quality, визуально показывая снижение доли летучей кислотности при росте качества, тогда как citric_fraction растет с увеличением качества.[1]</w:t>
      </w:r>
    </w:p>
    <w:p w14:paraId="57000000">
      <w:pPr>
        <w:rPr>
          <w:b w:val="1"/>
        </w:rPr>
      </w:pPr>
      <w:r>
        <w:rPr>
          <w:b w:val="1"/>
        </w:rPr>
        <w:t>Производные признаки и их роль</w:t>
      </w:r>
    </w:p>
    <w:p w14:paraId="58000000">
      <w:pPr>
        <w:numPr>
          <w:numId w:val="2"/>
        </w:numPr>
      </w:pPr>
      <w:r>
        <w:t>total_acidity: сумма фиксированной, летучей и лимонной кислот для оценки общего кислотного фона, с ограниченной предиктивностью относительно quality.[1]</w:t>
      </w:r>
    </w:p>
    <w:p w14:paraId="59000000">
      <w:pPr>
        <w:numPr>
          <w:numId w:val="2"/>
        </w:numPr>
      </w:pPr>
      <w:r>
        <w:t>va_to_fa_ratio: отношение летучей к фиксированной кислотности, отражающее баланс кислот; убывает с ростом качества, что указывает на важность снижения доли летучей компоненты.[1]</w:t>
      </w:r>
    </w:p>
    <w:p w14:paraId="5A000000">
      <w:pPr>
        <w:numPr>
          <w:numId w:val="2"/>
        </w:numPr>
      </w:pPr>
      <w:r>
        <w:t>acid_to_sugar: отношение суммарной кислотности к остаточному сахару, призванное уловить баланс кислотности и сладости; служит для интерпретации, без явной доминирующей корреляции.[1]</w:t>
      </w:r>
    </w:p>
    <w:p w14:paraId="5B000000">
      <w:pPr>
        <w:numPr>
          <w:numId w:val="2"/>
        </w:numPr>
      </w:pPr>
      <w:r>
        <w:t>va_fraction и citric_fraction: долевые метрики компонентов в общей кислотности; первая обратно связана с quality, вторая положительно, что повышает интерпретируемость химического профиля качества.[1]</w:t>
      </w:r>
    </w:p>
    <w:p w14:paraId="5C000000">
      <w:pPr>
        <w:numPr>
          <w:numId w:val="2"/>
        </w:numPr>
      </w:pPr>
      <w:r>
        <w:t>chlorides_per_acid: нормировка хлоридов на общую кислотность для оценки относительного солевого влияния; используется как вспомогательная характеристика.[1]</w:t>
      </w:r>
    </w:p>
    <w:p w14:paraId="5D000000">
      <w:pPr>
        <w:rPr>
          <w:b w:val="1"/>
        </w:rPr>
      </w:pPr>
      <w:r>
        <w:rPr>
          <w:b w:val="1"/>
        </w:rPr>
        <w:t>Визуализации и интерпретация</w:t>
      </w:r>
    </w:p>
    <w:p w14:paraId="5E000000">
      <w:r>
        <w:t>Тепловая карта корреляций помогает быстро выделить пары признаков и их связь с целевой меткой, а горизонтальный barplot акцентирует порядок важности по модулю корреляции с quality для приоритизации факторов. Boxplot по уровням quality и scatter plot для ключевых признаков дают интуитивную проверку линейности и возможных нелинейностей либо выбросов, подтверждая направления и относительные силы эффектов, выявленных корреляциями.[1]</w:t>
      </w:r>
    </w:p>
    <w:p w14:paraId="5F000000">
      <w:pPr>
        <w:rPr>
          <w:b w:val="1"/>
        </w:rPr>
      </w:pPr>
      <w:r>
        <w:rPr>
          <w:b w:val="1"/>
        </w:rPr>
        <w:t>Параметры и оптимизации</w:t>
      </w:r>
    </w:p>
    <w:p w14:paraId="60000000">
      <w:r>
        <w:t>Используются настройки визуализаций для читабельности: аннотации на тепловой карте, сдвиги подписей barplot, ограничение оси X для лучшей дифференциации отрицательных корреляций, сетка и легенды на комбинированных графиках. Для устойчивости расчета отношений добавлен малый эпсилон $ \varepsilon = 10^{-6} $ при делении, предотвращающий деление на ноль и численную нестабильность при нулевых знаменателях.[1]</w:t>
      </w:r>
    </w:p>
    <w:p w14:paraId="61000000">
      <w:pPr>
        <w:rPr>
          <w:b w:val="1"/>
        </w:rPr>
      </w:pPr>
      <w:r>
        <w:rPr>
          <w:b w:val="1"/>
        </w:rPr>
        <w:t>Назначение и применимость</w:t>
      </w:r>
    </w:p>
    <w:p w14:paraId="62000000">
      <w:pPr>
        <w:spacing w:line="360" w:lineRule="auto"/>
        <w:ind w:firstLine="0" w:left="0" w:right="-2"/>
        <w:jc w:val="left"/>
      </w:pPr>
      <w:r>
        <w:t xml:space="preserve">          Блокнот служит как демонстрационный и исследовательский инструмент для выявления признаков, связанных с качеством вина, и для иллюстрации важности инженерии признаков на основе доменных соотношений кислотности и сахара. Результаты пригодны для последующего построения простых предиктивных моделей либо для формирования гипотез об отборе признаков и регуляризации в задачах регрессии качества вина.</w:t>
      </w:r>
      <w:r>
        <w:br w:type="page"/>
      </w:r>
      <w:r>
        <w:rPr>
          <w:b w:val="1"/>
        </w:rPr>
        <w:t>Анализ в Google Colab:</w:t>
      </w:r>
    </w:p>
    <w:p w14:paraId="63000000">
      <w:pPr>
        <w:spacing w:line="240" w:lineRule="auto"/>
        <w:ind w:firstLine="0" w:left="0" w:right="-2"/>
        <w:jc w:val="left"/>
        <w:rPr>
          <w:b w:val="1"/>
        </w:rPr>
      </w:pPr>
      <w:r>
        <w:rPr>
          <w:b w:val="1"/>
        </w:rPr>
        <w:t>Загрузка датасета wine quality selection и очистка данных</w:t>
      </w:r>
    </w:p>
    <w:p w14:paraId="64000000">
      <w:pPr>
        <w:spacing w:line="240" w:lineRule="auto"/>
        <w:ind w:firstLine="0" w:left="0" w:right="-2"/>
        <w:jc w:val="left"/>
      </w:pPr>
    </w:p>
    <w:p w14:paraId="65000000">
      <w:pPr>
        <w:spacing w:line="240" w:lineRule="auto"/>
        <w:ind w:firstLine="0" w:left="0" w:right="-2"/>
        <w:jc w:val="left"/>
        <w:rPr>
          <w:b w:val="1"/>
        </w:rPr>
      </w:pPr>
      <w:r>
        <w:rPr>
          <w:b w:val="1"/>
        </w:rPr>
        <w:t>Разведочный анализ данных (EDA)</w:t>
      </w:r>
    </w:p>
    <w:p w14:paraId="66000000">
      <w:pPr>
        <w:spacing w:line="240" w:lineRule="auto"/>
        <w:ind w:firstLine="0" w:left="0" w:right="-2"/>
        <w:jc w:val="left"/>
      </w:pPr>
    </w:p>
    <w:p w14:paraId="67000000">
      <w:pPr>
        <w:spacing w:line="240" w:lineRule="auto"/>
        <w:ind w:firstLine="0" w:left="0" w:right="-2"/>
        <w:jc w:val="left"/>
      </w:pPr>
      <w:r>
        <w:drawing>
          <wp:inline>
            <wp:extent cx="6480174" cy="5759351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6480174" cy="57593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000000">
      <w:pPr>
        <w:spacing w:line="240" w:lineRule="auto"/>
        <w:ind w:firstLine="0" w:left="0" w:right="-2"/>
        <w:jc w:val="left"/>
      </w:pPr>
    </w:p>
    <w:p w14:paraId="69000000">
      <w:r>
        <w:t>Корреляционная матрица показывает, что качество вина положительно коррелирует с содержанием алкоголя и сульфатов, а отрицательно с летучей кислотностью. Это указывает на важность снижения летучей кислотности(volatile acidity) и повышения алкоголя(alcohol) для улучшения качества.</w:t>
      </w:r>
    </w:p>
    <w:p w14:paraId="6A000000">
      <w:pPr>
        <w:spacing w:line="240" w:lineRule="auto"/>
        <w:ind w:firstLine="0" w:left="0" w:right="-2"/>
        <w:jc w:val="left"/>
      </w:pPr>
      <w:r>
        <w:drawing>
          <wp:inline>
            <wp:extent cx="6480174" cy="8686659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6480174" cy="8686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000000"/>
    <w:p w14:paraId="6C000000">
      <w:r>
        <w:t>Корреляции с quality (барплот):</w:t>
      </w:r>
    </w:p>
    <w:p w14:paraId="6D000000">
      <w:pPr>
        <w:spacing w:line="240" w:lineRule="auto"/>
        <w:ind w:firstLine="0" w:left="0" w:right="-2"/>
        <w:jc w:val="left"/>
      </w:pPr>
      <w:r>
        <w:t>Наибольшая положительная корреляция с качеством (quality) у алкоголя(alcohol) +0.48, затем идут сульфаты(sulphates) +0.25 и лимонная кислота(citric acid) +0.23. Наибольшие отрицательные корреляции у летучей кислотности(volatile acidity) -0.39 и Общий SO₂(total sulfur dioxide) -0.19. Это подтверждает сильные влияния этих признаков на качество.</w:t>
      </w:r>
      <w:r>
        <w:br/>
      </w:r>
      <w:r>
        <w:br/>
      </w:r>
      <w:r>
        <w:drawing>
          <wp:inline>
            <wp:extent cx="6480174" cy="4011406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6480174" cy="40114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000000">
      <w:r>
        <w:t>Гистограмма распределения quality:</w:t>
      </w:r>
    </w:p>
    <w:p w14:paraId="6F000000">
      <w:pPr>
        <w:spacing w:line="240" w:lineRule="auto"/>
        <w:ind w:firstLine="0" w:left="0" w:right="-2"/>
        <w:jc w:val="left"/>
      </w:pPr>
      <w:r>
        <w:t>Гистограмма показывает, что оценки качества 5 и 6 доминируют. Качество 3 и 8 встречается редко, это отражает естественный разброс качества вина в выборке.</w:t>
      </w:r>
    </w:p>
    <w:p w14:paraId="70000000">
      <w:pPr>
        <w:spacing w:line="240" w:lineRule="auto"/>
        <w:ind w:firstLine="0" w:left="0" w:right="-2"/>
        <w:jc w:val="left"/>
      </w:pPr>
      <w:r>
        <w:drawing>
          <wp:inline>
            <wp:extent cx="6480174" cy="6474740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6480174" cy="64747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000000">
      <w:r>
        <w:t>Boxplot признаки vs quality:</w:t>
      </w:r>
    </w:p>
    <w:p w14:paraId="72000000">
      <w:pPr>
        <w:spacing w:line="240" w:lineRule="auto"/>
        <w:ind w:firstLine="0" w:left="0" w:right="-2"/>
        <w:jc w:val="left"/>
      </w:pPr>
      <w:r>
        <w:t>Boxplot для каждого признака по уровням качества выявляет тенденции: например, содержание алкоголя повышается с увеличением quality, а летучая кислотность уменьшается. Такие визуализации наглядно показывают влияние химических параметров на качество.</w:t>
      </w:r>
    </w:p>
    <w:p w14:paraId="73000000">
      <w:pPr>
        <w:spacing w:line="240" w:lineRule="auto"/>
        <w:ind w:firstLine="0" w:left="0" w:right="-2"/>
        <w:jc w:val="left"/>
      </w:pPr>
    </w:p>
    <w:p w14:paraId="74000000">
      <w:pPr>
        <w:spacing w:line="240" w:lineRule="auto"/>
        <w:ind w:firstLine="0" w:left="0" w:right="-2"/>
        <w:jc w:val="left"/>
      </w:pPr>
      <w:r>
        <w:drawing>
          <wp:inline>
            <wp:extent cx="6480174" cy="5383808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6480174" cy="53838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000000">
      <w:r>
        <w:t>Scatter plots для ключевых признаков:</w:t>
      </w:r>
    </w:p>
    <w:p w14:paraId="76000000">
      <w:pPr>
        <w:spacing w:line="240" w:lineRule="auto"/>
        <w:ind w:firstLine="0" w:left="0" w:right="-2"/>
        <w:jc w:val="left"/>
      </w:pPr>
      <w:r>
        <w:t>Scatter plots подтверждают корреляции: алкоголь и сульфаты имеют явное положительное влияние на качество, летучая кислотность — отрицательное. Лимонная кислота показывает более слабую, но положительную зависимость.</w:t>
      </w:r>
      <w:r>
        <w:drawing>
          <wp:inline>
            <wp:extent cx="6480174" cy="5540231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6480174" cy="55402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000000">
      <w:pPr>
        <w:spacing w:line="240" w:lineRule="auto"/>
        <w:ind w:firstLine="0" w:left="0" w:right="-2"/>
        <w:jc w:val="left"/>
      </w:pPr>
    </w:p>
    <w:p w14:paraId="78000000">
      <w:r>
        <w:t>Визуализация производных признаков:</w:t>
      </w:r>
    </w:p>
    <w:p w14:paraId="79000000">
      <w:r>
        <w:t>Boxplot показывает, что:</w:t>
      </w:r>
    </w:p>
    <w:p w14:paraId="7A000000">
      <w:pPr>
        <w:spacing w:line="240" w:lineRule="auto"/>
        <w:ind w:firstLine="0" w:left="0" w:right="-2"/>
        <w:jc w:val="left"/>
      </w:pPr>
      <w:r>
        <w:t>Соотношение летучих и фиксированных кислот (VA/FA Ratio)(va_to_fa_ratio) снижается при увеличении качества(quality),Общая кислотность(total_acidity) слабо влиет на quality, Индекс «Чистоты» кислотного профиля (Citric Acid Fraction) значительно увеличивается с ростом качества. Это визуально подтверждает числовые корреляции.</w:t>
      </w:r>
    </w:p>
    <w:p w14:paraId="7B000000">
      <w:pPr>
        <w:spacing w:line="240" w:lineRule="auto"/>
        <w:ind w:firstLine="0" w:left="0" w:right="-2"/>
        <w:jc w:val="left"/>
      </w:pPr>
      <w:r>
        <w:drawing>
          <wp:inline>
            <wp:extent cx="6480175" cy="3763563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6480175" cy="37635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000000">
      <w:r>
        <w:t>Качество красного вина в выборке возрастает на фоне снижения относительного вклада летучей кислотности и роста доли лимонной кислоты; одновременно спиртуозность и сульфаты остаются ключевыми позитивными маркерами, тогда как избыточная летучая кислота — негативным индикатором.</w:t>
      </w:r>
    </w:p>
    <w:p w14:paraId="7D000000"/>
    <w:p w14:paraId="7E000000">
      <w:pPr>
        <w:rPr>
          <w:b w:val="1"/>
        </w:rPr>
      </w:pPr>
      <w:r>
        <w:rPr>
          <w:b w:val="1"/>
        </w:rPr>
        <w:t>Тренды по производным признакам</w:t>
      </w:r>
    </w:p>
    <w:p w14:paraId="7F000000"/>
    <w:p w14:paraId="80000000">
      <w:r>
        <w:t>Метрики баланса летучей к фиксированной кислотности убывают с ростом качества: va_to_fa_ratio и va_fraction ниже у высоких оценок, что отражает нежелательность доминирования летучих кислот для сенсорики.</w:t>
      </w:r>
    </w:p>
    <w:p w14:paraId="81000000">
      <w:r>
        <w:t>citric_fraction демонстрирует восходящий тренд по шкале quality, указывая на связь более «чистого» кислотного профиля с лучшей оценкой; total_acidity меняется слабее и сам по себе менее информативен.</w:t>
      </w:r>
    </w:p>
    <w:p w14:paraId="82000000">
      <w:r>
        <w:t>acid_to_sugar не показывает устойчиво монотонной зависимости, подтверждая, что общий «баланс кислота–сладость» важен контекстно и не сводится к простой пропорции.</w:t>
      </w:r>
    </w:p>
    <w:p w14:paraId="83000000"/>
    <w:p w14:paraId="84000000">
      <w:pPr>
        <w:rPr>
          <w:b w:val="1"/>
        </w:rPr>
      </w:pPr>
      <w:r>
        <w:rPr>
          <w:b w:val="1"/>
        </w:rPr>
        <w:t>Инсайты для признакового пространства</w:t>
      </w:r>
    </w:p>
    <w:p w14:paraId="85000000">
      <w:r>
        <w:t>Относительные показатели (доли и отношения) несут больше дискриминационной информации, чем абсолютная сумма кислот: нормализация на общий фон высвечивает качественные сдвиги профиля кислотности.</w:t>
      </w:r>
    </w:p>
    <w:p w14:paraId="86000000">
      <w:r>
        <w:t>Противонаправленные тренды va_fraction и citric_fraction усиливают интерпретируемость: снижение доли летучей кислоты и рост доли лимонной — согласованный маркер лучшего качества.</w:t>
      </w:r>
    </w:p>
    <w:p w14:paraId="87000000">
      <w:r>
        <w:t>Включение отношений с фиксированной кислотой и остаточным сахаром полезно для гипотез о нелинейностях и взаимодействиях в последующих моделях (например, полиномиальные термы, взаимодействия).</w:t>
      </w:r>
    </w:p>
    <w:p w14:paraId="88000000"/>
    <w:p w14:paraId="89000000">
      <w:pPr>
        <w:spacing w:after="195" w:before="195"/>
        <w:ind w:firstLine="0" w:left="0" w:right="0"/>
        <w:jc w:val="left"/>
        <w:rPr>
          <w:rFonts w:ascii="Google Sans Text" w:hAnsi="Google Sans Text"/>
          <w:b w:val="0"/>
          <w:i w:val="0"/>
          <w:caps w:val="0"/>
          <w:color w:val="1F1F1F"/>
          <w:spacing w:val="0"/>
          <w:sz w:val="39"/>
          <w:highlight w:val="white"/>
        </w:rPr>
      </w:pPr>
      <w:r>
        <w:rPr>
          <w:rFonts w:ascii="Google Sans Text" w:hAnsi="Google Sans Text"/>
          <w:b w:val="1"/>
          <w:i w:val="0"/>
          <w:caps w:val="0"/>
          <w:color w:val="1F1F1F"/>
          <w:spacing w:val="0"/>
          <w:sz w:val="39"/>
          <w:highlight w:val="white"/>
        </w:rPr>
        <w:t>Общий вывод</w:t>
      </w:r>
    </w:p>
    <w:p w14:paraId="8A000000">
      <w:r>
        <w:t>Проведённый анализ датасета *«Red Wine Quality»* позволил глубоко изучить взаимосвязь химико-физических параметров вина с его субъективной оценкой качества (шкала от 3 до 8). Основные выводы:</w:t>
      </w:r>
    </w:p>
    <w:p w14:paraId="8B000000"/>
    <w:p w14:paraId="8C000000">
      <w:pPr>
        <w:rPr>
          <w:b w:val="1"/>
        </w:rPr>
      </w:pPr>
      <w:r>
        <w:rPr>
          <w:b w:val="1"/>
        </w:rPr>
        <w:t>1. Ключевые признаки, влияющие на качество</w:t>
      </w:r>
    </w:p>
    <w:p w14:paraId="8D000000">
      <w:r>
        <w:t xml:space="preserve">- </w:t>
      </w:r>
      <w:r>
        <w:rPr>
          <w:b w:val="1"/>
        </w:rPr>
        <w:t>Наибольшее положительное влияние:</w:t>
      </w:r>
      <w:r>
        <w:t xml:space="preserve">  </w:t>
      </w:r>
    </w:p>
    <w:p w14:paraId="8E000000">
      <w:r>
        <w:t xml:space="preserve">  ✅ **Алкоголь (`alcohol`, r = +0.48)** — один из самых сильных маркеров качества.  </w:t>
      </w:r>
    </w:p>
    <w:p w14:paraId="8F000000">
      <w:r>
        <w:t xml:space="preserve">  ✅ **Сульфаты (`sulphates`, r = +0.25)** — часто связаны с сохранностью и структурой вина.  </w:t>
      </w:r>
    </w:p>
    <w:p w14:paraId="90000000">
      <w:r>
        <w:t xml:space="preserve">  ✅ **Лимонная кислота (`citric acid`, r = +0.23)** — придаёт свежесть и фруктовость.</w:t>
      </w:r>
    </w:p>
    <w:p w14:paraId="91000000"/>
    <w:p w14:paraId="92000000">
      <w:r>
        <w:t xml:space="preserve">- </w:t>
      </w:r>
      <w:r>
        <w:rPr>
          <w:b w:val="1"/>
        </w:rPr>
        <w:t>Наибольшее отрицательное влияние:</w:t>
      </w:r>
      <w:r>
        <w:t xml:space="preserve">  </w:t>
      </w:r>
    </w:p>
    <w:p w14:paraId="93000000">
      <w:r>
        <w:t xml:space="preserve">  ❌ **Летучая кислотность (`volatile acidity`, r = −0.39)** — особенно уксусная кислота, маркер окисления и порчи.  </w:t>
      </w:r>
    </w:p>
    <w:p w14:paraId="94000000">
      <w:r>
        <w:t xml:space="preserve">  ❌ **Общий SO₂ (`total sulfur dioxide`, r = −0.19)** — высокие дозы могут быть признаком коррекции дефектов.</w:t>
      </w:r>
    </w:p>
    <w:p w14:paraId="95000000"/>
    <w:p w14:paraId="96000000">
      <w:r>
        <w:t>---</w:t>
      </w:r>
    </w:p>
    <w:p w14:paraId="97000000"/>
    <w:p w14:paraId="98000000">
      <w:r>
        <w:t>#### ⚙️ **2. Инженерия признаков даёт прирост информативности**</w:t>
      </w:r>
    </w:p>
    <w:p w14:paraId="99000000">
      <w:r>
        <w:t>Производные признаки, особенно **нормализованные отношения**, усиливают предиктивную силу и интерпретируемость:</w:t>
      </w:r>
    </w:p>
    <w:p w14:paraId="9A000000">
      <w:r>
        <w:t>- **`va_fraction`** и **`va_to_fa_ratio`** имеют **более сильную отрицательную корреляцию** с качеством, чем исходная `volatile acidity`.</w:t>
      </w:r>
    </w:p>
    <w:p w14:paraId="9B000000">
      <w:r>
        <w:t>- **`citric_fraction`** показывает устойчивый рост с увеличением `quality`, подчёркивая значимость *профиля* кислот, а не только их суммы (`total_acidity`).</w:t>
      </w:r>
    </w:p>
    <w:p w14:paraId="9C000000">
      <w:r>
        <w:t>- **`acid_to_sugar`** и **`chlorides_per_acid`** помогают учесть балансы, важные для вкусового восприятия.</w:t>
      </w:r>
    </w:p>
    <w:p w14:paraId="9D000000"/>
    <w:p w14:paraId="9E000000">
      <w:r>
        <w:t>&gt; 💡 **Инсайт**: *Относительные* меры (доли, соотношения) часто информативнее абсолютных — они нивелируют масштаб и отражают внутренний химический баланс.</w:t>
      </w:r>
    </w:p>
    <w:p w14:paraId="9F000000"/>
    <w:p w14:paraId="A0000000">
      <w:r>
        <w:t>---</w:t>
      </w:r>
    </w:p>
    <w:p w14:paraId="A1000000"/>
    <w:p w14:paraId="A2000000">
      <w:r>
        <w:t>#### 📊 **3. Распределение качества и надёжность трендов**</w:t>
      </w:r>
    </w:p>
    <w:p w14:paraId="A3000000">
      <w:r>
        <w:t xml:space="preserve">- **Дисбаланс классов**: 82 % образцов оценены на **5 или 6**, в то время как **3 и 8** составляют менее 1.5 % выборки.  </w:t>
      </w:r>
    </w:p>
    <w:p w14:paraId="A4000000">
      <w:r>
        <w:t xml:space="preserve">  → При построении моделей требуется балансировка или бинаризация (`good` = ≥6 vs `bad` &lt; 6).</w:t>
      </w:r>
    </w:p>
    <w:p w14:paraId="A5000000">
      <w:r>
        <w:t>- **Тренды надёжны** в диапазоне `quality = 5–7` (где много данных), но **могут быть шумными на границах** (3, 4, 8).</w:t>
      </w:r>
    </w:p>
    <w:p w14:paraId="A6000000"/>
    <w:p w14:paraId="A7000000">
      <w:r>
        <w:t>---</w:t>
      </w:r>
    </w:p>
    <w:p w14:paraId="A8000000"/>
    <w:p w14:paraId="A9000000">
      <w:r>
        <w:t>#### 🧠 **4. Рекомендации для моделирования**</w:t>
      </w:r>
    </w:p>
    <w:p w14:paraId="AA000000">
      <w:r>
        <w:t>- Для классификации/регрессии рекомендуется использовать **комбинированный набор признаков**:</w:t>
      </w:r>
    </w:p>
    <w:p w14:paraId="AB000000">
      <w:r>
        <w:t xml:space="preserve">  - Исходные (`alcohol`, `volatile acidity`, `sulphates`)</w:t>
      </w:r>
    </w:p>
    <w:p w14:paraId="AC000000">
      <w:r>
        <w:t xml:space="preserve">  - Инженерные (`va_fraction`, `citric_fraction`, `va_to_fa_ratio`)</w:t>
      </w:r>
    </w:p>
    <w:p w14:paraId="AD000000">
      <w:r>
        <w:t>- Пробовать:</w:t>
      </w:r>
    </w:p>
    <w:p w14:paraId="AE000000">
      <w:r>
        <w:t xml:space="preserve">  - **Random Forest / Gradient Boosting** — для интерпретации важности признаков.</w:t>
      </w:r>
    </w:p>
    <w:p w14:paraId="AF000000">
      <w:r>
        <w:t xml:space="preserve">  - **Logistic Regression + полиномиальные взаимодействия** — для проверки гипотез о нелинейных балансах.</w:t>
      </w:r>
    </w:p>
    <w:p w14:paraId="B0000000">
      <w:r>
        <w:t xml:space="preserve">  - **Кластеризацию (например, k-means)** — чтобы выявить типы «винного профиля».</w:t>
      </w:r>
    </w:p>
    <w:p w14:paraId="B1000000"/>
    <w:p w14:paraId="B2000000">
      <w:r>
        <w:t>---</w:t>
      </w:r>
    </w:p>
    <w:p w14:paraId="B3000000"/>
    <w:p w14:paraId="B4000000">
      <w:r>
        <w:t>#### 🍷 **Практический вывод для виноделия**</w:t>
      </w:r>
    </w:p>
    <w:p w14:paraId="B5000000">
      <w:r>
        <w:t>Чтобы повысить субъективное качество красного вина, следует:</w:t>
      </w:r>
    </w:p>
    <w:p w14:paraId="B6000000">
      <w:r>
        <w:t>1. **Минимизировать долю летучих кислот** (особенно уксусной),</w:t>
      </w:r>
    </w:p>
    <w:p w14:paraId="B7000000">
      <w:r>
        <w:t>2. **Поддерживать умеренно высокий уровень алкоголя** (~10–12 %),</w:t>
      </w:r>
    </w:p>
    <w:p w14:paraId="B8000000">
      <w:r>
        <w:t>3. **Обогащать профиль лимонной кислотой**, сохранив общий кислотный баланс,</w:t>
      </w:r>
    </w:p>
    <w:p w14:paraId="B9000000">
      <w:r>
        <w:t>4. **Контролировать соотношения**, а не только абсолютные концентрации.</w:t>
      </w:r>
    </w:p>
    <w:p w14:paraId="BA000000"/>
    <w:p w14:paraId="BB000000">
      <w:r>
        <w:t>---</w:t>
      </w:r>
    </w:p>
    <w:p w14:paraId="BC000000"/>
    <w:p w14:paraId="BD000000">
      <w:r>
        <w:t>Заключение:</w:t>
      </w:r>
    </w:p>
    <w:p w14:paraId="BE000000">
      <w:pPr>
        <w:spacing w:line="240" w:lineRule="auto"/>
        <w:ind w:firstLine="0" w:left="0" w:right="-2"/>
        <w:jc w:val="left"/>
        <w:rPr>
          <w:b w:val="1"/>
        </w:rPr>
      </w:pPr>
      <w:r>
        <w:t>Химический состав вина содержит достаточно информации для объяснения и прогнозирования его качества. Комбинирование классического EDA, инженерии признаков и визуализации позволяет не только строить модели, но и получать **интерпретируемые, технологически значимые выводы** — мост между data science и реальным производством.</w:t>
      </w:r>
    </w:p>
    <w:sectPr>
      <w:headerReference r:id="rId1" w:type="first"/>
      <w:headerReference r:id="rId2" w:type="default"/>
      <w:footerReference r:id="rId3" w:type="default"/>
      <w:pgSz w:h="16838" w:orient="portrait" w:w="11906"/>
      <w:pgMar w:bottom="567" w:footer="709" w:gutter="0" w:header="709" w:left="1134" w:right="567" w:top="567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3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center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3000000">
    <w:pPr>
      <w:pStyle w:val="Style_2"/>
      <w:ind/>
      <w:jc w:val="center"/>
    </w:pPr>
  </w:p>
  <w:p w14:paraId="04000000">
    <w:pPr>
      <w:pStyle w:val="Style_2"/>
    </w:pPr>
  </w:p>
</w:ftr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</w:pPr>
    <w:r>
      <w:drawing>
        <wp:anchor allowOverlap="true" behindDoc="true" layoutInCell="true" locked="false" relativeHeight="251658240" simplePos="false">
          <wp:simplePos x="0" y="0"/>
          <wp:positionH relativeFrom="margin">
            <wp:posOffset>-720090</wp:posOffset>
          </wp:positionH>
          <wp:positionV relativeFrom="margin">
            <wp:posOffset>-657225</wp:posOffset>
          </wp:positionV>
          <wp:extent cx="7562850" cy="10696575"/>
          <wp:effectExtent b="0" l="0" r="0" t="0"/>
          <wp:wrapNone/>
          <wp:docPr hidden="false" id="2" name="Picture 2"/>
          <a:graphic>
            <a:graphicData uri="http://schemas.openxmlformats.org/drawingml/2006/picture">
              <pic:pic>
                <pic:nvPicPr>
                  <pic:cNvPr hidden="false" id="1" name="Picture 1"/>
                  <pic:cNvPicPr preferRelativeResize="true"/>
                </pic:nvPicPr>
                <pic:blipFill>
                  <a:blip r:embed="rId1"/>
                  <a:srcRect b="0" l="0" r="0" t="0"/>
                  <a:stretch/>
                </pic:blipFill>
                <pic:spPr>
                  <a:xfrm flipH="false" flipV="false" rot="0">
                    <a:ext cx="7562850" cy="10696575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pStyle w:val="Style_1"/>
    </w:pPr>
    <w:r>
      <w:drawing>
        <wp:anchor allowOverlap="true" behindDoc="true" layoutInCell="true" locked="false" relativeHeight="251658240" simplePos="false">
          <wp:simplePos x="0" y="0"/>
          <wp:positionH relativeFrom="margin">
            <wp:posOffset>-722630</wp:posOffset>
          </wp:positionH>
          <wp:positionV relativeFrom="margin">
            <wp:posOffset>-768350</wp:posOffset>
          </wp:positionV>
          <wp:extent cx="7562850" cy="10696575"/>
          <wp:effectExtent b="0" l="0" r="0" t="0"/>
          <wp:wrapNone/>
          <wp:docPr hidden="false" id="4" name="Picture 4"/>
          <a:graphic>
            <a:graphicData uri="http://schemas.openxmlformats.org/drawingml/2006/picture">
              <pic:pic>
                <pic:nvPicPr>
                  <pic:cNvPr hidden="false" id="3" name="Picture 3"/>
                  <pic:cNvPicPr preferRelativeResize="true"/>
                </pic:nvPicPr>
                <pic:blipFill>
                  <a:blip r:embed="rId1"/>
                  <a:srcRect b="0" l="0" r="0" t="0"/>
                  <a:stretch/>
                </pic:blipFill>
                <pic:spPr>
                  <a:xfrm flipH="false" flipV="false" rot="0">
                    <a:ext cx="7562850" cy="106965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start w:val="1"/>
      <w:numFmt w:val="decimal"/>
      <w:pStyle w:val="Style_14"/>
      <w:lvlText w:val="%1."/>
      <w:lvlJc w:val="left"/>
      <w:pPr>
        <w:ind w:hanging="450" w:left="450"/>
      </w:pPr>
      <w:rPr>
        <w:rFonts w:ascii="Times New Roman" w:hAnsi="Times New Roman"/>
      </w:rPr>
    </w:lvl>
    <w:lvl w:ilvl="1">
      <w:start w:val="1"/>
      <w:numFmt w:val="decimal"/>
      <w:pStyle w:val="Style_30"/>
      <w:lvlText w:val="%1.%2."/>
      <w:lvlJc w:val="left"/>
      <w:pPr>
        <w:ind w:hanging="720" w:left="720"/>
      </w:pPr>
      <w:rPr>
        <w:rFonts w:ascii="Times New Roman" w:hAnsi="Times New Roman"/>
        <w:b w:val="1"/>
        <w:sz w:val="28"/>
      </w:rPr>
    </w:lvl>
    <w:lvl w:ilvl="2">
      <w:start w:val="1"/>
      <w:numFmt w:val="decimal"/>
      <w:pStyle w:val="Style_8"/>
      <w:lvlText w:val="%1.%2.%3."/>
      <w:lvlJc w:val="left"/>
      <w:pPr>
        <w:ind w:hanging="720" w:left="720"/>
      </w:pPr>
      <w:rPr>
        <w:b w:val="0"/>
      </w:rPr>
    </w:lvl>
    <w:lvl w:ilvl="3">
      <w:start w:val="1"/>
      <w:numFmt w:val="decimal"/>
      <w:lvlText w:val="%1.%2.%3.%4."/>
      <w:lvlJc w:val="left"/>
      <w:pPr>
        <w:ind w:hanging="1080" w:left="1080"/>
      </w:pPr>
    </w:lvl>
    <w:lvl w:ilvl="4">
      <w:start w:val="1"/>
      <w:numFmt w:val="decimal"/>
      <w:lvlText w:val="%1.%2.%3.%4.%5."/>
      <w:lvlJc w:val="left"/>
      <w:pPr>
        <w:ind w:hanging="1080" w:left="1080"/>
      </w:pPr>
    </w:lvl>
    <w:lvl w:ilvl="5">
      <w:start w:val="1"/>
      <w:numFmt w:val="decimal"/>
      <w:lvlText w:val="%1.%2.%3.%4.%5.%6."/>
      <w:lvlJc w:val="left"/>
      <w:pPr>
        <w:ind w:hanging="1440" w:left="1440"/>
      </w:pPr>
    </w:lvl>
    <w:lvl w:ilvl="6">
      <w:start w:val="1"/>
      <w:numFmt w:val="decimal"/>
      <w:lvlText w:val="%1.%2.%3.%4.%5.%6.%7."/>
      <w:lvlJc w:val="left"/>
      <w:pPr>
        <w:ind w:hanging="1800" w:left="1800"/>
      </w:pPr>
    </w:lvl>
    <w:lvl w:ilvl="7">
      <w:start w:val="1"/>
      <w:numFmt w:val="decimal"/>
      <w:lvlText w:val="%1.%2.%3.%4.%5.%6.%7.%8."/>
      <w:lvlJc w:val="left"/>
      <w:pPr>
        <w:ind w:hanging="1800" w:left="1800"/>
      </w:pPr>
    </w:lvl>
    <w:lvl w:ilvl="8">
      <w:start w:val="1"/>
      <w:numFmt w:val="decimal"/>
      <w:lvlText w:val="%1.%2.%3.%4.%5.%6.%7.%8.%9."/>
      <w:lvlJc w:val="left"/>
      <w:pPr>
        <w:ind w:hanging="2160" w:left="2160"/>
      </w:pPr>
    </w:lvl>
  </w:abstractNum>
  <w:abstractNum w:abstractNumId="3">
    <w:lvl w:ilvl="0">
      <w:start w:val="1"/>
      <w:numFmt w:val="lowerLetter"/>
      <w:pStyle w:val="Style_25"/>
      <w:lvlText w:val="%1."/>
      <w:lvlJc w:val="left"/>
      <w:pPr>
        <w:ind w:hanging="360" w:left="1635"/>
      </w:pPr>
    </w:lvl>
    <w:lvl w:ilvl="1">
      <w:start w:val="1"/>
      <w:numFmt w:val="lowerLetter"/>
      <w:lvlText w:val="%2."/>
      <w:lvlJc w:val="left"/>
      <w:pPr>
        <w:ind w:hanging="360" w:left="2355"/>
      </w:pPr>
    </w:lvl>
    <w:lvl w:ilvl="2">
      <w:start w:val="1"/>
      <w:numFmt w:val="lowerRoman"/>
      <w:lvlText w:val="%3."/>
      <w:lvlJc w:val="right"/>
      <w:pPr>
        <w:ind w:hanging="180" w:left="3075"/>
      </w:pPr>
    </w:lvl>
    <w:lvl w:ilvl="3">
      <w:start w:val="1"/>
      <w:numFmt w:val="decimal"/>
      <w:lvlText w:val="%4."/>
      <w:lvlJc w:val="left"/>
      <w:pPr>
        <w:ind w:hanging="360" w:left="3795"/>
      </w:pPr>
    </w:lvl>
    <w:lvl w:ilvl="4">
      <w:start w:val="1"/>
      <w:numFmt w:val="lowerLetter"/>
      <w:lvlText w:val="%5."/>
      <w:lvlJc w:val="left"/>
      <w:pPr>
        <w:ind w:hanging="360" w:left="4515"/>
      </w:pPr>
    </w:lvl>
    <w:lvl w:ilvl="5">
      <w:start w:val="1"/>
      <w:numFmt w:val="lowerRoman"/>
      <w:lvlText w:val="%6."/>
      <w:lvlJc w:val="right"/>
      <w:pPr>
        <w:ind w:hanging="180" w:left="5235"/>
      </w:pPr>
    </w:lvl>
    <w:lvl w:ilvl="6">
      <w:start w:val="1"/>
      <w:numFmt w:val="decimal"/>
      <w:lvlText w:val="%7."/>
      <w:lvlJc w:val="left"/>
      <w:pPr>
        <w:ind w:hanging="360" w:left="5955"/>
      </w:pPr>
    </w:lvl>
    <w:lvl w:ilvl="7">
      <w:start w:val="1"/>
      <w:numFmt w:val="lowerLetter"/>
      <w:lvlText w:val="%8."/>
      <w:lvlJc w:val="left"/>
      <w:pPr>
        <w:ind w:hanging="360" w:left="6675"/>
      </w:pPr>
    </w:lvl>
    <w:lvl w:ilvl="8">
      <w:start w:val="1"/>
      <w:numFmt w:val="lowerRoman"/>
      <w:lvlText w:val="%9."/>
      <w:lvlJc w:val="right"/>
      <w:pPr>
        <w:ind w:hanging="180" w:left="7395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  <w:pPr>
      <w:spacing w:line="360" w:lineRule="auto"/>
      <w:ind w:firstLine="709" w:left="0"/>
      <w:jc w:val="both"/>
    </w:pPr>
    <w:rPr>
      <w:rFonts w:ascii="Times New Roman" w:hAnsi="Times New Roman"/>
      <w:sz w:val="28"/>
    </w:rPr>
  </w:style>
  <w:style w:default="1" w:styleId="Style_5_ch" w:type="character">
    <w:name w:val="Normal"/>
    <w:link w:val="Style_5"/>
    <w:rPr>
      <w:rFonts w:ascii="Times New Roman" w:hAnsi="Times New Roman"/>
      <w:sz w:val="28"/>
    </w:rPr>
  </w:style>
  <w:style w:styleId="Style_6" w:type="paragraph">
    <w:name w:val="toc 2"/>
    <w:basedOn w:val="Style_5"/>
    <w:next w:val="Style_5"/>
    <w:link w:val="Style_6_ch"/>
    <w:uiPriority w:val="39"/>
    <w:pPr>
      <w:spacing w:after="100"/>
      <w:ind w:firstLine="0" w:left="280"/>
    </w:pPr>
  </w:style>
  <w:style w:styleId="Style_6_ch" w:type="character">
    <w:name w:val="toc 2"/>
    <w:basedOn w:val="Style_5_ch"/>
    <w:link w:val="Style_6"/>
  </w:style>
  <w:style w:styleId="Style_7" w:type="paragraph">
    <w:name w:val="Третий уровень"/>
    <w:basedOn w:val="Style_8"/>
    <w:link w:val="Style_7_ch"/>
    <w:pPr>
      <w:spacing w:before="0" w:line="360" w:lineRule="auto"/>
      <w:ind/>
    </w:pPr>
  </w:style>
  <w:style w:styleId="Style_7_ch" w:type="character">
    <w:name w:val="Третий уровень"/>
    <w:basedOn w:val="Style_8_ch"/>
    <w:link w:val="Style_7"/>
  </w:style>
  <w:style w:styleId="Style_9" w:type="paragraph">
    <w:name w:val="toc 4"/>
    <w:next w:val="Style_5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" w:type="paragraph">
    <w:name w:val="header"/>
    <w:basedOn w:val="Style_5"/>
    <w:link w:val="Style_1_ch"/>
    <w:pPr>
      <w:tabs>
        <w:tab w:leader="none" w:pos="4677" w:val="center"/>
        <w:tab w:leader="none" w:pos="9355" w:val="right"/>
      </w:tabs>
      <w:spacing w:line="240" w:lineRule="auto"/>
      <w:ind/>
    </w:pPr>
  </w:style>
  <w:style w:styleId="Style_1_ch" w:type="character">
    <w:name w:val="header"/>
    <w:basedOn w:val="Style_5_ch"/>
    <w:link w:val="Style_1"/>
  </w:style>
  <w:style w:styleId="Style_10" w:type="paragraph">
    <w:name w:val="toc 6"/>
    <w:next w:val="Style_5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5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8" w:type="paragraph">
    <w:name w:val="heading 3"/>
    <w:basedOn w:val="Style_12"/>
    <w:next w:val="Style_5"/>
    <w:link w:val="Style_8_ch"/>
    <w:uiPriority w:val="9"/>
    <w:qFormat/>
    <w:pPr>
      <w:numPr>
        <w:ilvl w:val="2"/>
        <w:numId w:val="3"/>
      </w:numPr>
      <w:spacing w:before="120"/>
      <w:ind w:firstLine="720" w:left="0"/>
      <w:outlineLvl w:val="2"/>
    </w:pPr>
    <w:rPr>
      <w:rFonts w:ascii="Times New Roman" w:hAnsi="Times New Roman"/>
      <w:sz w:val="28"/>
    </w:rPr>
  </w:style>
  <w:style w:styleId="Style_8_ch" w:type="character">
    <w:name w:val="heading 3"/>
    <w:basedOn w:val="Style_12_ch"/>
    <w:link w:val="Style_8"/>
    <w:rPr>
      <w:rFonts w:ascii="Times New Roman" w:hAnsi="Times New Roman"/>
      <w:sz w:val="28"/>
    </w:rPr>
  </w:style>
  <w:style w:styleId="Style_13" w:type="paragraph">
    <w:name w:val="TOC Heading"/>
    <w:basedOn w:val="Style_14"/>
    <w:next w:val="Style_5"/>
    <w:link w:val="Style_13_ch"/>
    <w:pPr>
      <w:ind/>
      <w:outlineLvl w:val="8"/>
    </w:pPr>
    <w:rPr>
      <w:rFonts w:asciiTheme="majorAscii" w:hAnsiTheme="majorHAnsi"/>
      <w:b w:val="0"/>
      <w:color w:themeColor="accent1" w:themeShade="BF" w:val="2E75B5"/>
      <w:sz w:val="32"/>
    </w:rPr>
  </w:style>
  <w:style w:styleId="Style_13_ch" w:type="character">
    <w:name w:val="TOC Heading"/>
    <w:basedOn w:val="Style_14_ch"/>
    <w:link w:val="Style_13"/>
    <w:rPr>
      <w:rFonts w:asciiTheme="majorAscii" w:hAnsiTheme="majorHAnsi"/>
      <w:b w:val="0"/>
      <w:color w:themeColor="accent1" w:themeShade="BF" w:val="2E75B5"/>
      <w:sz w:val="32"/>
    </w:rPr>
  </w:style>
  <w:style w:styleId="Style_15" w:type="paragraph">
    <w:name w:val="Default Paragraph Font"/>
    <w:link w:val="Style_15_ch"/>
  </w:style>
  <w:style w:styleId="Style_15_ch" w:type="character">
    <w:name w:val="Default Paragraph Font"/>
    <w:link w:val="Style_15"/>
  </w:style>
  <w:style w:styleId="Style_12" w:type="paragraph">
    <w:name w:val="List Paragraph"/>
    <w:basedOn w:val="Style_5"/>
    <w:link w:val="Style_12_ch"/>
    <w:pPr>
      <w:spacing w:line="240" w:lineRule="auto"/>
      <w:ind w:firstLine="0" w:left="720"/>
      <w:contextualSpacing w:val="1"/>
    </w:pPr>
    <w:rPr>
      <w:rFonts w:ascii="Cambria" w:hAnsi="Cambria"/>
      <w:sz w:val="24"/>
    </w:rPr>
  </w:style>
  <w:style w:styleId="Style_12_ch" w:type="character">
    <w:name w:val="List Paragraph"/>
    <w:basedOn w:val="Style_5_ch"/>
    <w:link w:val="Style_12"/>
    <w:rPr>
      <w:rFonts w:ascii="Cambria" w:hAnsi="Cambria"/>
      <w:sz w:val="24"/>
    </w:rPr>
  </w:style>
  <w:style w:styleId="Style_16" w:type="paragraph">
    <w:name w:val="Balloon Text"/>
    <w:basedOn w:val="Style_5"/>
    <w:link w:val="Style_16_ch"/>
    <w:pPr>
      <w:spacing w:line="240" w:lineRule="auto"/>
      <w:ind/>
    </w:pPr>
    <w:rPr>
      <w:rFonts w:ascii="Segoe UI" w:hAnsi="Segoe UI"/>
      <w:sz w:val="18"/>
    </w:rPr>
  </w:style>
  <w:style w:styleId="Style_16_ch" w:type="character">
    <w:name w:val="Balloon Text"/>
    <w:basedOn w:val="Style_5_ch"/>
    <w:link w:val="Style_16"/>
    <w:rPr>
      <w:rFonts w:ascii="Segoe UI" w:hAnsi="Segoe UI"/>
      <w:sz w:val="18"/>
    </w:rPr>
  </w:style>
  <w:style w:styleId="Style_17" w:type="paragraph">
    <w:name w:val="toc 3"/>
    <w:basedOn w:val="Style_5"/>
    <w:next w:val="Style_5"/>
    <w:link w:val="Style_17_ch"/>
    <w:uiPriority w:val="39"/>
    <w:pPr>
      <w:spacing w:after="100"/>
      <w:ind w:firstLine="0" w:left="560"/>
    </w:pPr>
  </w:style>
  <w:style w:styleId="Style_17_ch" w:type="character">
    <w:name w:val="toc 3"/>
    <w:basedOn w:val="Style_5_ch"/>
    <w:link w:val="Style_17"/>
  </w:style>
  <w:style w:styleId="Style_18" w:type="paragraph">
    <w:name w:val="footnote reference"/>
    <w:basedOn w:val="Style_15"/>
    <w:link w:val="Style_18_ch"/>
    <w:rPr>
      <w:vertAlign w:val="superscript"/>
    </w:rPr>
  </w:style>
  <w:style w:styleId="Style_18_ch" w:type="character">
    <w:name w:val="footnote reference"/>
    <w:basedOn w:val="Style_15_ch"/>
    <w:link w:val="Style_18"/>
    <w:rPr>
      <w:vertAlign w:val="superscript"/>
    </w:rPr>
  </w:style>
  <w:style w:styleId="Style_19" w:type="paragraph">
    <w:name w:val="Default"/>
    <w:link w:val="Style_19_ch"/>
    <w:pPr>
      <w:widowControl w:val="0"/>
      <w:spacing w:line="240" w:lineRule="auto"/>
      <w:ind w:firstLine="1134" w:left="0"/>
      <w:jc w:val="both"/>
    </w:pPr>
    <w:rPr>
      <w:rFonts w:ascii="Times New Roman" w:hAnsi="Times New Roman"/>
      <w:color w:val="000000"/>
      <w:sz w:val="24"/>
    </w:rPr>
  </w:style>
  <w:style w:styleId="Style_19_ch" w:type="character">
    <w:name w:val="Default"/>
    <w:link w:val="Style_19"/>
    <w:rPr>
      <w:rFonts w:ascii="Times New Roman" w:hAnsi="Times New Roman"/>
      <w:color w:val="000000"/>
      <w:sz w:val="24"/>
    </w:rPr>
  </w:style>
  <w:style w:styleId="Style_20" w:type="paragraph">
    <w:name w:val="heading 5"/>
    <w:next w:val="Style_5"/>
    <w:link w:val="Style_2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0_ch" w:type="character">
    <w:name w:val="heading 5"/>
    <w:link w:val="Style_20"/>
    <w:rPr>
      <w:rFonts w:ascii="XO Thames" w:hAnsi="XO Thames"/>
      <w:b w:val="1"/>
      <w:sz w:val="22"/>
    </w:rPr>
  </w:style>
  <w:style w:styleId="Style_14" w:type="paragraph">
    <w:name w:val="heading 1"/>
    <w:basedOn w:val="Style_5"/>
    <w:next w:val="Style_5"/>
    <w:link w:val="Style_14_ch"/>
    <w:uiPriority w:val="9"/>
    <w:qFormat/>
    <w:pPr>
      <w:keepNext w:val="1"/>
      <w:keepLines w:val="1"/>
      <w:numPr>
        <w:ilvl w:val="0"/>
        <w:numId w:val="3"/>
      </w:numPr>
      <w:spacing w:after="360" w:before="480"/>
      <w:ind/>
      <w:jc w:val="center"/>
      <w:outlineLvl w:val="0"/>
    </w:pPr>
    <w:rPr>
      <w:b w:val="1"/>
      <w:caps w:val="1"/>
    </w:rPr>
  </w:style>
  <w:style w:styleId="Style_14_ch" w:type="character">
    <w:name w:val="heading 1"/>
    <w:basedOn w:val="Style_5_ch"/>
    <w:link w:val="Style_14"/>
    <w:rPr>
      <w:b w:val="1"/>
      <w:caps w:val="1"/>
    </w:rPr>
  </w:style>
  <w:style w:styleId="Style_4" w:type="paragraph">
    <w:name w:val="Hyperlink"/>
    <w:basedOn w:val="Style_15"/>
    <w:link w:val="Style_4_ch"/>
    <w:rPr>
      <w:color w:themeColor="hyperlink" w:val="0563C1"/>
      <w:u w:val="single"/>
    </w:rPr>
  </w:style>
  <w:style w:styleId="Style_4_ch" w:type="character">
    <w:name w:val="Hyperlink"/>
    <w:basedOn w:val="Style_15_ch"/>
    <w:link w:val="Style_4"/>
    <w:rPr>
      <w:color w:themeColor="hyperlink" w:val="0563C1"/>
      <w:u w:val="single"/>
    </w:rPr>
  </w:style>
  <w:style w:styleId="Style_21" w:type="paragraph">
    <w:name w:val="Footnote"/>
    <w:basedOn w:val="Style_5"/>
    <w:link w:val="Style_21_ch"/>
    <w:pPr>
      <w:spacing w:line="240" w:lineRule="auto"/>
      <w:ind w:firstLine="0" w:left="0"/>
      <w:jc w:val="left"/>
    </w:pPr>
    <w:rPr>
      <w:sz w:val="20"/>
    </w:rPr>
  </w:style>
  <w:style w:styleId="Style_21_ch" w:type="character">
    <w:name w:val="Footnote"/>
    <w:basedOn w:val="Style_5_ch"/>
    <w:link w:val="Style_21"/>
    <w:rPr>
      <w:sz w:val="20"/>
    </w:rPr>
  </w:style>
  <w:style w:styleId="Style_22" w:type="paragraph">
    <w:name w:val="toc 1"/>
    <w:basedOn w:val="Style_5"/>
    <w:next w:val="Style_5"/>
    <w:link w:val="Style_22_ch"/>
    <w:uiPriority w:val="39"/>
    <w:pPr>
      <w:tabs>
        <w:tab w:leader="none" w:pos="440" w:val="left"/>
        <w:tab w:leader="dot" w:pos="9345" w:val="right"/>
      </w:tabs>
      <w:ind w:firstLine="0" w:left="0" w:right="454"/>
    </w:pPr>
  </w:style>
  <w:style w:styleId="Style_22_ch" w:type="character">
    <w:name w:val="toc 1"/>
    <w:basedOn w:val="Style_5_ch"/>
    <w:link w:val="Style_22"/>
  </w:style>
  <w:style w:styleId="Style_23" w:type="paragraph">
    <w:name w:val="Header and Footer"/>
    <w:link w:val="Style_23_ch"/>
    <w:pPr>
      <w:spacing w:line="240" w:lineRule="auto"/>
      <w:ind/>
      <w:jc w:val="both"/>
    </w:pPr>
    <w:rPr>
      <w:rFonts w:ascii="XO Thames" w:hAnsi="XO Thames"/>
      <w:sz w:val="20"/>
    </w:rPr>
  </w:style>
  <w:style w:styleId="Style_23_ch" w:type="character">
    <w:name w:val="Header and Footer"/>
    <w:link w:val="Style_23"/>
    <w:rPr>
      <w:rFonts w:ascii="XO Thames" w:hAnsi="XO Thames"/>
      <w:sz w:val="20"/>
    </w:rPr>
  </w:style>
  <w:style w:styleId="Style_24" w:type="paragraph">
    <w:name w:val="No Spacing"/>
    <w:link w:val="Style_24_ch"/>
    <w:pPr>
      <w:spacing w:line="240" w:lineRule="auto"/>
      <w:ind w:firstLine="1134" w:left="0"/>
      <w:jc w:val="both"/>
    </w:pPr>
    <w:rPr>
      <w:rFonts w:ascii="Times New Roman" w:hAnsi="Times New Roman"/>
      <w:sz w:val="28"/>
    </w:rPr>
  </w:style>
  <w:style w:styleId="Style_24_ch" w:type="character">
    <w:name w:val="No Spacing"/>
    <w:link w:val="Style_24"/>
    <w:rPr>
      <w:rFonts w:ascii="Times New Roman" w:hAnsi="Times New Roman"/>
      <w:sz w:val="28"/>
    </w:rPr>
  </w:style>
  <w:style w:styleId="Style_25" w:type="paragraph">
    <w:name w:val="Четвертый уровень"/>
    <w:basedOn w:val="Style_12"/>
    <w:link w:val="Style_25_ch"/>
    <w:pPr>
      <w:numPr>
        <w:ilvl w:val="0"/>
        <w:numId w:val="4"/>
      </w:numPr>
      <w:spacing w:line="360" w:lineRule="auto"/>
      <w:ind w:firstLine="1134" w:left="0"/>
    </w:pPr>
    <w:rPr>
      <w:rFonts w:ascii="Times New Roman" w:hAnsi="Times New Roman"/>
      <w:sz w:val="28"/>
    </w:rPr>
  </w:style>
  <w:style w:styleId="Style_25_ch" w:type="character">
    <w:name w:val="Четвертый уровень"/>
    <w:basedOn w:val="Style_12_ch"/>
    <w:link w:val="Style_25"/>
    <w:rPr>
      <w:rFonts w:ascii="Times New Roman" w:hAnsi="Times New Roman"/>
      <w:sz w:val="28"/>
    </w:rPr>
  </w:style>
  <w:style w:styleId="Style_26" w:type="paragraph">
    <w:name w:val="toc 9"/>
    <w:next w:val="Style_5"/>
    <w:link w:val="Style_2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6_ch" w:type="character">
    <w:name w:val="toc 9"/>
    <w:link w:val="Style_26"/>
    <w:rPr>
      <w:rFonts w:ascii="XO Thames" w:hAnsi="XO Thames"/>
      <w:sz w:val="28"/>
    </w:rPr>
  </w:style>
  <w:style w:styleId="Style_27" w:type="paragraph">
    <w:name w:val="Литература"/>
    <w:basedOn w:val="Style_12"/>
    <w:link w:val="Style_27_ch"/>
    <w:pPr>
      <w:spacing w:after="240" w:line="360" w:lineRule="auto"/>
      <w:ind w:firstLine="0" w:left="0"/>
      <w:contextualSpacing w:val="0"/>
    </w:pPr>
    <w:rPr>
      <w:rFonts w:ascii="Times New Roman" w:hAnsi="Times New Roman"/>
    </w:rPr>
  </w:style>
  <w:style w:styleId="Style_27_ch" w:type="character">
    <w:name w:val="Литература"/>
    <w:basedOn w:val="Style_12_ch"/>
    <w:link w:val="Style_27"/>
    <w:rPr>
      <w:rFonts w:ascii="Times New Roman" w:hAnsi="Times New Roman"/>
    </w:rPr>
  </w:style>
  <w:style w:styleId="Style_28" w:type="paragraph">
    <w:name w:val="toc 8"/>
    <w:next w:val="Style_5"/>
    <w:link w:val="Style_28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8_ch" w:type="character">
    <w:name w:val="toc 8"/>
    <w:link w:val="Style_28"/>
    <w:rPr>
      <w:rFonts w:ascii="XO Thames" w:hAnsi="XO Thames"/>
      <w:sz w:val="28"/>
    </w:rPr>
  </w:style>
  <w:style w:styleId="Style_29" w:type="paragraph">
    <w:name w:val="toc 5"/>
    <w:next w:val="Style_5"/>
    <w:link w:val="Style_2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9_ch" w:type="character">
    <w:name w:val="toc 5"/>
    <w:link w:val="Style_29"/>
    <w:rPr>
      <w:rFonts w:ascii="XO Thames" w:hAnsi="XO Thames"/>
      <w:sz w:val="28"/>
    </w:rPr>
  </w:style>
  <w:style w:styleId="Style_2" w:type="paragraph">
    <w:name w:val="footer"/>
    <w:basedOn w:val="Style_5"/>
    <w:link w:val="Style_2_ch"/>
    <w:pPr>
      <w:tabs>
        <w:tab w:leader="none" w:pos="4677" w:val="center"/>
        <w:tab w:leader="none" w:pos="9355" w:val="right"/>
      </w:tabs>
      <w:spacing w:line="240" w:lineRule="auto"/>
      <w:ind/>
    </w:pPr>
  </w:style>
  <w:style w:styleId="Style_2_ch" w:type="character">
    <w:name w:val="footer"/>
    <w:basedOn w:val="Style_5_ch"/>
    <w:link w:val="Style_2"/>
  </w:style>
  <w:style w:styleId="Style_30" w:type="paragraph">
    <w:name w:val="Второй уровень обычный текст"/>
    <w:basedOn w:val="Style_12"/>
    <w:link w:val="Style_30_ch"/>
    <w:pPr>
      <w:numPr>
        <w:ilvl w:val="1"/>
        <w:numId w:val="3"/>
      </w:numPr>
      <w:spacing w:before="240" w:line="360" w:lineRule="auto"/>
      <w:ind w:firstLine="720" w:left="0"/>
    </w:pPr>
    <w:rPr>
      <w:rFonts w:ascii="Times New Roman" w:hAnsi="Times New Roman"/>
      <w:sz w:val="28"/>
    </w:rPr>
  </w:style>
  <w:style w:styleId="Style_30_ch" w:type="character">
    <w:name w:val="Второй уровень обычный текст"/>
    <w:basedOn w:val="Style_12_ch"/>
    <w:link w:val="Style_30"/>
    <w:rPr>
      <w:rFonts w:ascii="Times New Roman" w:hAnsi="Times New Roman"/>
      <w:sz w:val="28"/>
    </w:rPr>
  </w:style>
  <w:style w:styleId="Style_31" w:type="paragraph">
    <w:name w:val="Subtitle"/>
    <w:next w:val="Style_5"/>
    <w:link w:val="Style_31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31_ch" w:type="character">
    <w:name w:val="Subtitle"/>
    <w:link w:val="Style_31"/>
    <w:rPr>
      <w:rFonts w:ascii="XO Thames" w:hAnsi="XO Thames"/>
      <w:i w:val="1"/>
      <w:sz w:val="24"/>
    </w:rPr>
  </w:style>
  <w:style w:styleId="Style_32" w:type="paragraph">
    <w:name w:val="Title"/>
    <w:basedOn w:val="Style_5"/>
    <w:link w:val="Style_32_ch"/>
    <w:uiPriority w:val="10"/>
    <w:qFormat/>
    <w:pPr>
      <w:widowControl w:val="0"/>
      <w:ind/>
      <w:jc w:val="center"/>
    </w:pPr>
    <w:rPr>
      <w:b w:val="1"/>
    </w:rPr>
  </w:style>
  <w:style w:styleId="Style_32_ch" w:type="character">
    <w:name w:val="Title"/>
    <w:basedOn w:val="Style_5_ch"/>
    <w:link w:val="Style_32"/>
    <w:rPr>
      <w:b w:val="1"/>
    </w:rPr>
  </w:style>
  <w:style w:styleId="Style_33" w:type="paragraph">
    <w:name w:val="heading 4"/>
    <w:next w:val="Style_5"/>
    <w:link w:val="Style_33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3_ch" w:type="character">
    <w:name w:val="heading 4"/>
    <w:link w:val="Style_33"/>
    <w:rPr>
      <w:rFonts w:ascii="XO Thames" w:hAnsi="XO Thames"/>
      <w:b w:val="1"/>
      <w:sz w:val="24"/>
    </w:rPr>
  </w:style>
  <w:style w:styleId="Style_34" w:type="paragraph">
    <w:name w:val="heading 2"/>
    <w:basedOn w:val="Style_5"/>
    <w:next w:val="Style_5"/>
    <w:link w:val="Style_34_ch"/>
    <w:uiPriority w:val="9"/>
    <w:qFormat/>
    <w:pPr>
      <w:keepNext w:val="1"/>
      <w:keepLines w:val="1"/>
      <w:spacing w:after="120" w:before="120"/>
      <w:ind w:hanging="709" w:left="709"/>
      <w:outlineLvl w:val="1"/>
    </w:pPr>
    <w:rPr>
      <w:b w:val="1"/>
    </w:rPr>
  </w:style>
  <w:style w:styleId="Style_34_ch" w:type="character">
    <w:name w:val="heading 2"/>
    <w:basedOn w:val="Style_5_ch"/>
    <w:link w:val="Style_34"/>
    <w:rPr>
      <w:b w:val="1"/>
    </w:rPr>
  </w:style>
  <w:style w:default="1" w:styleId="Style_35" w:type="table">
    <w:name w:val="Normal Table"/>
    <w:tblPr>
      <w:tblCellMar>
        <w:top w:type="dxa" w:w="0"/>
        <w:left w:type="dxa" w:w="108"/>
        <w:bottom w:type="dxa" w:w="0"/>
        <w:right w:type="dxa" w:w="108"/>
      </w:tblCellMar>
    </w:tblPr>
  </w:style>
  <w:style w:styleId="Style_3" w:type="table">
    <w:name w:val="Table Grid"/>
    <w:basedOn w:val="Style_35"/>
    <w:pPr>
      <w:spacing w:line="240" w:lineRule="auto"/>
      <w:ind w:firstLine="0" w:left="0"/>
      <w:jc w:val="left"/>
    </w:pPr>
    <w:rPr>
      <w:rFonts w:ascii="Times New Roman" w:hAnsi="Times New Roman"/>
      <w:sz w:val="20"/>
    </w:r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3" Target="styles.xml" Type="http://schemas.openxmlformats.org/officeDocument/2006/relationships/styles"/>
  <Relationship Id="rId11" Target="fontTable.xml" Type="http://schemas.openxmlformats.org/officeDocument/2006/relationships/fontTable"/>
  <Relationship Id="rId17" Target="numbering.xml" Type="http://schemas.openxmlformats.org/officeDocument/2006/relationships/numbering"/>
  <Relationship Id="rId10" Target="media/9.png" Type="http://schemas.openxmlformats.org/officeDocument/2006/relationships/image"/>
  <Relationship Id="rId15" Target="webSettings.xml" Type="http://schemas.openxmlformats.org/officeDocument/2006/relationships/webSettings"/>
  <Relationship Id="rId9" Target="media/8.png" Type="http://schemas.openxmlformats.org/officeDocument/2006/relationships/image"/>
  <Relationship Id="rId8" Target="media/7.png" Type="http://schemas.openxmlformats.org/officeDocument/2006/relationships/image"/>
  <Relationship Id="rId7" Target="media/6.png" Type="http://schemas.openxmlformats.org/officeDocument/2006/relationships/image"/>
  <Relationship Id="rId14" Target="stylesWithEffects.xml" Type="http://schemas.microsoft.com/office/2007/relationships/stylesWithEffects"/>
  <Relationship Id="rId6" Target="media/5.png" Type="http://schemas.openxmlformats.org/officeDocument/2006/relationships/image"/>
  <Relationship Id="rId5" Target="media/4.png" Type="http://schemas.openxmlformats.org/officeDocument/2006/relationships/image"/>
  <Relationship Id="rId4" Target="media/3.png" Type="http://schemas.openxmlformats.org/officeDocument/2006/relationships/image"/>
  <Relationship Id="rId16" Target="theme/theme1.xml" Type="http://schemas.openxmlformats.org/officeDocument/2006/relationships/theme"/>
  <Relationship Id="rId12" Target="settings.xml" Type="http://schemas.openxmlformats.org/officeDocument/2006/relationships/settings"/>
  <Relationship Id="rId3" Target="footer3.xml" Type="http://schemas.openxmlformats.org/officeDocument/2006/relationships/footer"/>
  <Relationship Id="rId2" Target="header2.xml" Type="http://schemas.openxmlformats.org/officeDocument/2006/relationships/header"/>
  <Relationship Id="rId1" Target="header1.xml" Type="http://schemas.openxmlformats.org/officeDocument/2006/relationships/header"/>
</Relationships>

</file>

<file path=word/_rels/header1.xml.rels><?xml version="1.0" encoding="UTF-8" standalone="no" ?>
<Relationships xmlns="http://schemas.openxmlformats.org/package/2006/relationships">
  <Relationship Id="rId1" Target="media/1.jpeg" Type="http://schemas.openxmlformats.org/officeDocument/2006/relationships/image"/>
</Relationships>

</file>

<file path=word/_rels/header2.xml.rels><?xml version="1.0" encoding="UTF-8" standalone="no" ?>
<Relationships xmlns="http://schemas.openxmlformats.org/package/2006/relationships">
  <Relationship Id="rId1" Target="media/2.jpe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2025-11-14T18:34:04Z</dcterms:modified>
</cp:coreProperties>
</file>