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hw87jd090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00｜最终汇总与模型修改清单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阶段：论文逐候选裁决｜对象：Acidithiobacillus ferrooxidans ATCC 23270 宿主本底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y94qhq892v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01–05 全部交付后，对 45 项宿主候选做统一核验，形成唯一的《ATCC23270-2026 最终模型修改清单》，供后续模型构建使用。本阶段只裁决论文证据，不修改 SBML。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ma32ktadvr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候选范围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01：B-001～B-004、独立的 E4-1-B-001-MDH-GPR、BDGK-GPR、BDGK-方向、GAP2、GLCP、SBPASE（10 项）；02：B-005～B-011、CA2tpp、NA1tpp（9 项）；03：B-012～B-018（7 项）；04：B-019～B-030（12 项）；05：ACCOAC、生物量反应、CTPS2、GLBRAN1、GLCS1、GLDBRAN2、MTRP（7 项）。合计 45 项。原人工派工 B-031 占位已撤销；B-001-MDH-GPR 与 B-001 必须分开裁决。00 不重新开展 45 项初审。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8j0enjbcn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检索与裁决规则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逐候选先核对旧基因号、现行基因号、蛋白号、反应号及 ATCC 23270 同株别名；数据库记录只作检索入口，追到原始研究论文。核实菌株、基因/蛋白、实验对象和旧模型反应是否相同；同物种其他株及同源蛋白证据单独标明，不能直接转为同株结论。逐项比较旧模型、2016 与 2024 版本的反应、方向、辅因子、区室及 GPR。 汇总时核对各组是否引用错菌株、错蛋白或错论文；同篇论文涉及多项候选时合并证据但保留逐候选结论；标出冲突并给出可追溯的取舍。仅对拟正式修改模型的项目重新抽查原始论文。每项只给一个主结论：正式新增反应／修改已有反应／修改 GPR／仅增强证据／保留原低等级推测／证据不足暂不修改。旧模型原有推测而没有新证据时原样保留并维持低证据等级；有直接新证据时才按实验升级或修改。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653l0uh9fu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原始湿实验优先级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优先级：ATCC 23270 同株的基因敲除/互补、纯化蛋白酶活与底物实验、定向过表达及代谢物/表型测定；其次为同株蛋白组、转录组和生理测量；其他菌株实验、同源推断、数据库注释和综述只能作间接线索。区分直接测得、作者推断与本次推断，并记录阴性结果和相反证据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87464fc1op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需提取的实验数据字段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每项记录候选 ID、旧/现行基因号、蛋白号、菌株、原文题目/DOI/页码或图表、实验类型、培养与诱导条件、底物/产物、辅因子、方向、区室或膜侧、酶活与单位、Km、Vmax/kcat、pH、温度、表达与表型；未报道字段写“未报道”，不补猜。附原文支持点、冲突点、现有反应及拟修改的精确内容。 最终清单另须记录来源组别、旧模型状态、最终裁决、拟改反应式/方向/辅因子/区室/GPR、证据等级、实施顺序与未决问题。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004skvhbde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禁止事项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年作者人为引入的全部异源通路、ectoine/trehalose 工程模块、人工 glucose/g1p 交换或转运及其他为模拟添加的工程/假设反应全部排除：不分配、不检索裁决、不写入宿主最终修改清单。不得凭数据库注释、MFS/ABC/porin 家族名、同源性或模型可运行性直接建反应；本阶段不改 SBML。 不得把 2024 模型的版本差异自动视为宿主生物学证据；不得为了凑齐更新数量而改动旧反应。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4avq9qnsuh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输出文件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唯一正式输出：《ATCC23270-2026 最终模型修改清单》。按新增反应、修改已有反应、修改 GPR、仅增强证据、原低置信反应保留、证据不足暂缓六类列出每个候选；另附冲突与原文抽查记录。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1f4kbzrpxrg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验收标准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 项各有唯一归属与结论；01–05 无漏项或重复计数；拟修改项能从原文湿实验追溯到具体模型动作；所有异源/工程/假设反应均未进入清单；冲突已裁决或明确标为未决；清单足以供下一阶段逐项实施，且 SBML 尚未修改。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