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2i9di7kqnp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01｜中央碳代谢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阶段：论文逐候选裁决｜对象：Acidithiobacillus ferrooxidans ATCC 23270 宿主本底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4xlxzk3xkd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逐项裁决中央碳与糖代谢相关宿主候选，明确应新增反应、修改反应方向/辅因子、补 GPR，或维持原状态。重点核对葡萄糖磷酸化、PPP、苹果酸节点及 PPC/TKT 等相关证据。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kf4dm31ux5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候选范围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B：B-001～B-004，另加独立候选 E4-1-B-001-MDH-GPR（01 表中记 B-001-MDH-GPR）；旧模型差异：BDGK-GPR、BDGK-方向、GAP2、GLCP、SBPASE。共 10 项；B-001 苹果酸酶新增反应与 B-001-MDH-GPR 替代 GPR 分开裁决、分开计数。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4fyh0puf1k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检索与裁决规则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逐候选先核对旧基因号、现行基因号、蛋白号、反应号及 ATCC 23270 同株别名；数据库记录只作检索入口，追到原始研究论文。核实菌株、基因/蛋白、实验对象和旧模型反应是否相同；同物种其他株及同源蛋白证据单独标明，不能直接转为同株结论。逐项比较旧模型、2016 与 2024 版本的反应、方向、辅因子、区室及 GPR。 对酶催化与代谢通量证据分别判断，特别核对底物特异性、可逆性、辅因子和基因对应关系。每项只给一个主结论：正式新增反应／修改已有反应／修改 GPR／仅增强证据／保留原低等级推测／证据不足暂不修改。旧模型原有推测而没有新证据时原样保留并维持低证据等级；有直接新证据时才按实验升级或修改。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yg2tp3oweu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原始湿实验优先级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优先级：ATCC 23270 同株的基因敲除/互补、纯化蛋白酶活与底物实验、定向过表达及代谢物/表型测定；其次为同株蛋白组、转录组和生理测量；其他菌株实验、同源推断、数据库注释和综述只能作间接线索。区分直接测得、作者推断与本次推断，并记录阴性结果和相反证据。 本组优先核对同株酶活、基因扰动、同位素示踪和碳源培养表型。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fdnm85nq3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需提取的实验数据字段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每项记录候选 ID、旧/现行基因号、蛋白号、菌株、原文题目/DOI/页码或图表、实验类型、培养与诱导条件、底物/产物、辅因子、方向、区室或膜侧、酶活与单位、Km、Vmax/kcat、pH、温度、表达与表型；未报道字段写“未报道”，不补猜。附原文支持点、冲突点、现有反应及拟修改的精确内容。 额外提取糖底物、磷酸供体、反应平衡或方向实验、通量条件及苹果酸/PPP 节点的相关测量。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qz4qdctmgb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禁止事项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年作者人为引入的全部异源通路、ectoine/trehalose 工程模块、人工 glucose/g1p 交换或转运及其他为模拟添加的工程/假设反应全部排除：不分配、不检索裁决、不写入宿主最终修改清单。不得凭数据库注释、MFS/ABC/porin 家族名、同源性或模型可运行性直接建反应；本阶段不改 SBML。 不得把基因名称相似、通路图连通或其他菌株酶活直接当作 ATCC 23270 的反应证据。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k6s5xioeit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输出文件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交付《01_中央碳_逐候选裁决表》与《01_原始论文证据摘录》；逐项写明六类主结论、精确模型动作或暂缓理由、原文位置及未报道字段，交给 00。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svncsm5wkv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验收标准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项全部覆盖且 ID 原样可追踪；每个拟新增/修改项有同株原始证据与反应级说明；方向、辅因子、GPR 冲突明确列出；低置信旧推测按规则保留；无工程反应混入。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