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kz0lc8bm71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02｜有机碳与膜转运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阶段：论文逐候选裁决｜对象：Acidithiobacillus ferrooxidans ATCC 23270 宿主本底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qmrld32j1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逐项裁决宿主有机碳利用与膜转运候选，特别确认实际转运底物、所在膜、方向和能量耦联。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amgjuazszb0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候选范围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B：B-005～B-011；旧模型差异：CA2tpp、NA1tpp。共 9 项。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4b7qlxzwo7u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检索与裁决规则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逐候选先核对旧基因号、现行基因号、蛋白号、反应号及 ATCC 23270 同株别名；数据库记录只作检索入口，追到原始研究论文。核实菌株、基因/蛋白、实验对象和旧模型反应是否相同；同物种其他株及同源蛋白证据单独标明，不能直接转为同株结论。逐项比较旧模型、2016 与 2024 版本的反应、方向、辅因子、区室及 GPR。 区分外膜通透、内膜转运、胞外交换与代谢反应；转运蛋白的底物、方向、膜侧和耗能方式分别裁决。每项只给一个主结论：正式新增反应／修改已有反应／修改 GPR／仅增强证据／保留原低等级推测／证据不足暂不修改。旧模型原有推测而没有新证据时原样保留并维持低证据等级；有直接新证据时才按实验升级或修改。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tkwyxig1sc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原始湿实验优先级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优先级：ATCC 23270 同株的基因敲除/互补、纯化蛋白酶活与底物实验、定向过表达及代谢物/表型测定；其次为同株蛋白组、转录组和生理测量；其他菌株实验、同源推断、数据库注释和综述只能作间接线索。区分直接测得、作者推断与本次推断，并记录阴性结果和相反证据。 本组优先摄取/外排实验、转运蛋白重构、放射或同位素底物测量、敲除与互补、底物竞争实验。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otm6pkid5dn2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需提取的实验数据字段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每项记录候选 ID、旧/现行基因号、蛋白号、菌株、原文题目/DOI/页码或图表、实验类型、培养与诱导条件、底物/产物、辅因子、方向、区室或膜侧、酶活与单位、Km、Vmax/kcat、pH、温度、表达与表型；未报道字段写“未报道”，不补猜。附原文支持点、冲突点、现有反应及拟修改的精确内容。 额外提取跨越的膜、起止区室、底物浓度、净摄取/外排方向、质子或钠离子耦联、ATP 消耗、转运速率与抑制条件。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dekktkx9bu03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禁止事项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 年作者人为引入的全部异源通路、ectoine/trehalose 工程模块、人工 glucose/g1p 交换或转运及其他为模拟添加的工程/假设反应全部排除：不分配、不检索裁决、不写入宿主最终修改清单。不得凭数据库注释、MFS/ABC/porin 家族名、同源性或模型可运行性直接建反应；本阶段不改 SBML。 MFS、ABC、porin 等家族注释本身不足以确定底物、方向或计量；不得将人工 glucose/g1p transport/exchange 收回本轮。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ufe6yonwkfy1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输出文件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交付《02_有机碳与转运_逐候选裁决表》与《02_原始论文证据摘录》；逐项写明转运边界、计量、GPR、六类主结论和原文位置，交给 00。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tvy8vvr1c2n0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验收标准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 项逐一有结论；任何拟建转运反应均有底物、膜/区室、方向、耗能证据或清楚标记未定；人工交换和工程转运未混入；证据不足项明确暂缓。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