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3ypet98own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05｜旧模型剩余宿主修改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阶段：论文逐候选裁决｜对象：Acidithiobacillus ferrooxidans ATCC 23270 宿主本底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6a1e96gwbs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反查 2016→2024 旧模型差异中剩余的宿主相关项目，确定哪些修改有新增论文证据支持，哪些应维持旧模型状态。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ecammrs1as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候选范围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ACCOAC、生物量反应、CTPS2、GLBRAN1、GLCS1、GLDBRAN2、MTRP，共 7 项。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ooq21tc6zt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检索与裁决规则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逐候选先核对旧基因号、现行基因号、蛋白号、反应号及 ATCC 23270 同株别名；数据库记录只作检索入口，追到原始研究论文。核实菌株、基因/蛋白、实验对象和旧模型反应是否相同；同物种其他株及同源蛋白证据单独标明，不能直接转为同株结论。逐项比较旧模型、2016 与 2024 版本的反应、方向、辅因子、区室及 GPR。 对每项列出 2016 与 2024 具体差异，追查 2024 修改的引用和原始实验；版本更新本身不构成采纳理由。生物量反应需区分实测组分与建模假设。每项只给一个主结论：正式新增反应／修改已有反应／修改 GPR／仅增强证据／保留原低等级推测／证据不足暂不修改。旧模型原有推测而没有新证据时原样保留并维持低证据等级；有直接新证据时才按实验升级或修改。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8qsh65c1ve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原始湿实验优先级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优先级：ATCC 23270 同株的基因敲除/互补、纯化蛋白酶活与底物实验、定向过表达及代谢物/表型测定；其次为同株蛋白组、转录组和生理测量；其他菌株实验、同源推断、数据库注释和综述只能作间接线索。区分直接测得、作者推断与本次推断，并记录阴性结果和相反证据。 本组优先同株酶活、储存物测量、糖原或生物量组分定量、基因扰动与培养条件对应的表型。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k6lgp5ma9d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需提取的实验数据字段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每项记录候选 ID、旧/现行基因号、蛋白号、菌株、原文题目/DOI/页码或图表、实验类型、培养与诱导条件、底物/产物、辅因子、方向、区室或膜侧、酶活与单位、Km、Vmax/kcat、pH、温度、表达与表型；未报道字段写“未报道”，不补猜。附原文支持点、冲突点、现有反应及拟修改的精确内容。 额外提取生物量组分及单位、测量条件、脂质/糖原或储存物组成、反应计量、版本差异来源与是否为建模假设。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qhg1x86l0h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禁止事项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年作者人为引入的全部异源通路、ectoine/trehalose 工程模块、人工 glucose/g1p 交换或转运及其他为模拟添加的工程/假设反应全部排除：不分配、不检索裁决、不写入宿主最终修改清单。不得凭数据库注释、MFS/ABC/porin 家族名、同源性或模型可运行性直接建反应；本阶段不改 SBML。 不得因 2024 模型已改而直接接受；不得把为工程模拟调整的生物量或储存反应视作野生型实测。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22uons4r4q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输出文件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交付《05_旧模型剩余_逐候选裁决表》与《05_原始论文证据摘录》；逐项列出 2016/2024 差异、六类主结论、原文位置及保留/修改理由，交给 00。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ztj29us6j0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验收标准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项逐一有结论；版本差异和原始论文证据一一对应；无新证据的旧低置信反应原样保留；生物量修改有实测基础或明确暂缓；无工程内容混入。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