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f7ifejotmjd" w:id="0"/>
      <w:bookmarkEnd w:id="0"/>
      <w:r w:rsidDel="00000000" w:rsidR="00000000" w:rsidRPr="00000000">
        <w:rPr>
          <w:rFonts w:ascii="Arial Unicode MS" w:cs="Arial Unicode MS" w:eastAsia="Arial Unicode MS" w:hAnsi="Arial Unicode MS"/>
          <w:rtl w:val="0"/>
        </w:rPr>
        <w:t xml:space="preserve">ATCC 23270 GEM 重建项目交接</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3btkeblolivg" w:id="1"/>
      <w:bookmarkEnd w:id="1"/>
      <w:r w:rsidDel="00000000" w:rsidR="00000000" w:rsidRPr="00000000">
        <w:rPr>
          <w:rFonts w:ascii="Arial Unicode MS" w:cs="Arial Unicode MS" w:eastAsia="Arial Unicode MS" w:hAnsi="Arial Unicode MS"/>
          <w:rtl w:val="0"/>
        </w:rPr>
        <w:t xml:space="preserve">一、项目目标与当前总原则</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本项目目标是基于 Acidithiobacillus ferrooxidans ATCC 23270 的当前官方基因组与最新数据库/论文证据，对2016年自然宿主模型 iMC507 做系统性2026更新，并在模型结构与生理验证通过后用于代谢工程分析。当前主坐标系是 GCF_049532655.1；当前基因身份以 RU820_RSxxxxx + WP_xxxxx.x 为准。旧 AFE_xxxx 只用于2016模型和旧论文溯源，不再决定某个当前基因是否进入审查。</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当前最重要的新决策：不能因为 G5X 尚未完成而一直阻塞模型计算。模型计算与基因证据审查从现在开始双轨并行。模型线立即使用冻结的2016 iMC507 作为 2026_baseline_v0；G5X继续工作。只有完成“当前基因功能明确 → 精确 reaction/GPR 明确 → 证据边界清楚 → 2016模型确实需要更新 → confidence score 可判定”的修改项，才进入 2026_patch_list；累积并验收后再生成 2026_reconstruction_v1。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必须避免的表述：目前不能说“已经证明没有新的基因可以加入模型”。正确表述是：G51–G510 尚未完成2929个基因的全量终审，目前没有形成一批已经完整闭环、可直接无争议写入模型的新基因/新反应。因此可以先跑 frozen baseline，但不能把 baseline_v0 称为最终2026完整模型。</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xriapn2paq8v" w:id="2"/>
      <w:bookmarkEnd w:id="2"/>
      <w:r w:rsidDel="00000000" w:rsidR="00000000" w:rsidRPr="00000000">
        <w:rPr>
          <w:rFonts w:ascii="Arial Unicode MS" w:cs="Arial Unicode MS" w:eastAsia="Arial Unicode MS" w:hAnsi="Arial Unicode MS"/>
          <w:rtl w:val="0"/>
        </w:rPr>
        <w:t xml:space="preserve">二、三个模型/文件体系的定位</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1. 2016 iMC507：当前自然宿主重建的主 scaffold，也是 baseline_v0 的唯一网络起点。后续任何2026修改都必须明确指出相对 iMC507 改了什么。</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2. 2024 iATF-ENG：工程化/论文复现参考，不是当前自然宿主 baseline。可用于后续工程设计方法、培养条件和结果对照，但不能替代 iMC507 作为2026 WT起点。</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3. A0 复现：2024论文复现已经完成并纠正 S3/S4 尾行错位，24/24 场景通过数值容差，最大 |Sv| 约 9.41e-9。文件“2024_论文复原_纠正版.xml”是复现产物，不是未来2026 WT模型，禁止直接把它当 baseline_v0。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4h32fm9033lq" w:id="3"/>
      <w:bookmarkEnd w:id="3"/>
      <w:r w:rsidDel="00000000" w:rsidR="00000000" w:rsidRPr="00000000">
        <w:rPr>
          <w:rFonts w:ascii="Arial Unicode MS" w:cs="Arial Unicode MS" w:eastAsia="Arial Unicode MS" w:hAnsi="Arial Unicode MS"/>
          <w:rtl w:val="0"/>
        </w:rPr>
        <w:t xml:space="preserve">三、当前基因全集与 G5 的正确定位</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当前 GCF_049532655.1 共3021个 gene，其中 protein-coding genes 为2929个；非蛋白编码基因暂不进入本轮 G5X。G51–G510 对这2929个蛋白编码基因按官方GFF坐标顺序直接分10组，不按功能、不按AFE、不按是否进旧模型筛选。</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旧 G5 的324个重查对象、109/69/146分类只保留为“历史 AFE 映射审计”：</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- 109：后来可恢复明确旧 AFE。</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- 69：旧 AFE 对应关系仍有历史映射歧义。</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- 146：没有可靠历史 AFE 标签。</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这三类不能再作为模型重建的筛选门槛。G5此前做的事情只说明当前基因与旧编号体系的关系；真正的模型更新门槛只有两个：当前功能/反应注释是否足够清晰，以及2016模型是否需要更新。</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p62b7rvydcn2" w:id="4"/>
      <w:bookmarkEnd w:id="4"/>
      <w:r w:rsidDel="00000000" w:rsidR="00000000" w:rsidRPr="00000000">
        <w:rPr>
          <w:rFonts w:ascii="Arial Unicode MS" w:cs="Arial Unicode MS" w:eastAsia="Arial Unicode MS" w:hAnsi="Arial Unicode MS"/>
          <w:rtl w:val="0"/>
        </w:rPr>
        <w:t xml:space="preserve">四、G5X逐基因证据链</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每个当前蛋白编码基因都使用同一链条：</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当前 RU820/WP 身份 → 当前 NCBI/RefSeq 注释 → UniProt/InterPro/Pfam 等蛋白证据 → KEGG/KO/EC/Rhea/BioCyc/MetaCyc/BRENDA/TCDB 等功能与反应证据 → 原始论文证据 → 定义具体底物、产物、辅因子、方向、区室、复合体/同工酶关系 → 对照2016 iMC507 的 reaction/GPR → 判定模型动作 → 按 Alpha 最终证据表落盘 → 对具体 reaction/GPR 结论打2016式 confidence score。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允许的模型动作：新增 reaction；新增/修改 GPR；修正已有 reaction；仅更新编号/证据；确认无需修改；证据不足暂缓。数据库自动注释或同源关系本身不能被写成同株直接实验证据。只有先定义具体 reaction 后才打 confidence score；无法定义反应的基因不应被强行打 Score1。</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iy15sb7efhdb" w:id="5"/>
      <w:bookmarkEnd w:id="5"/>
      <w:r w:rsidDel="00000000" w:rsidR="00000000" w:rsidRPr="00000000">
        <w:rPr>
          <w:rFonts w:ascii="Arial Unicode MS" w:cs="Arial Unicode MS" w:eastAsia="Arial Unicode MS" w:hAnsi="Arial Unicode MS"/>
          <w:rtl w:val="0"/>
        </w:rPr>
        <w:t xml:space="preserve">五、G51–G510最新进度快照</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以下数字用于交接进度，不等于最终科学结论；所有组都尚未通过“2929全量逐基因完整证据链终审”。</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G51：293/293 已完成第一轮覆盖，数据库/旧模型初审较深，已有2016关联反应与数据库反应候选的结构对照；但工作簿仍明确标记“初核；逐反应人工裁决未完成”。当前属于“全组初审完成，重点反应/论文深审进行中”。</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G52：293/293 已建表，但文件明确标注“预核对_未完成完整证据链”。约90条2016反应进入对照，Primary evidence DOI 尚未形成有效覆盖。当前属于“身份+数据库+旧模型关联基本扫完，原始论文/精确反应/最终动作尚未系统完成”。</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G53：293/293 第一轮覆盖完整。已有263个旧AFE映射、258个当前WP精确UniProt连接、20个reviewed UniProt；56个基因涉及2016 GPR，形成73条逐基因旧反应关联，并给31个基因补入同株蛋白组表达证据。暂定192“证据不足暂缓”、56“仅更新证据或编号”、45“无需修改”。已对若干重点反应/GPR开展专题核查，但仍未完成全部数据库原始条目、同株原始论文、化学平衡和2016反应等价的独立复核。</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G54：293/293 的当前身份和本地交叉引用已完成；233条旧AFE完全匹配、56条未映射、4条多重候选；29个基因有反应ID线索，其中2条目前直接连到2016 GPR。大部分仍为待裁决，只对 CYTBD、glycine cleavage 等少数问题做了较深核查。</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G55：293/293 已进入基础数据集；271个可关联旧AFE，约50个涉及旧模型反应；216个WP取得UniProt记录；文献检索已覆盖271个AFE编号，其中49个至少有一次检索命中。目前仍以“数据池+文献候选抓取”为主，尚未形成完整逐基因最终动作/score/Alpha验收。</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G56：293/293 已完成第一轮数据库和模型交叉审查。当前暂定195“无需修改”、97“证据不足暂缓”、1“仅更新证据或编号”；Alpha审查记录已形成，但绝大多数缺 Primary evidence DOI，旧模型关联反应仍有大量需要逐反应重评。尚未完成逐基因论文、精确化学反应和最终score裁决。</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G57：293个身份全部核对；213个接上UniProt，63条既有反应进入逐项对照；暂定152“无需修改”、138“证据不足暂缓”、3“仅更新证据或编号”。已深入核过 phnG–phnM、Rubisco/CbbQO 等问题。其阶段验收明确写明“尚未通过总说明的全量证据链验收”。</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G58：293/293 已进入中间数据；264个有旧映射、205个接上UniProt、41个与旧模型有关，并生成27条旧反应对照。当前293个全部仍标“证据不足暂缓”，Primary evidence DOI 与 reaction score 基本未完成。属于身份/数据库/2016模型机器化预审完成、逐基因论文与最终裁决尚未展开完成。</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G59：责任范围293个，但当前主要落盘 part_a + part_b 共196/293，尚余97个未进入这两批结果；已处理部分也主要是身份和数据库/旧模型预审，论文与最终反应裁决未完成。它是目前唯一连第一轮全组覆盖都尚未完成的组。</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G510：责任范围292个，全部已建立逐基因索引并做一轮 UniProt/KEGG/BioCyc/2016模型对照；约86个基因可关联2016已有公式，另有104条旧反应级审查记录。Primary evidence DOI 仍基本为空，约206个基因的具体反应仍未确认；没有通过最终验收。</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rnbjghnqbmx5" w:id="6"/>
      <w:bookmarkEnd w:id="6"/>
      <w:r w:rsidDel="00000000" w:rsidR="00000000" w:rsidRPr="00000000">
        <w:rPr>
          <w:rFonts w:ascii="Arial Unicode MS" w:cs="Arial Unicode MS" w:eastAsia="Arial Unicode MS" w:hAnsi="Arial Unicode MS"/>
          <w:rtl w:val="0"/>
        </w:rPr>
        <w:t xml:space="preserve">六、2016 confidence score 使用原则</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Score4：本株或目标蛋白的直接强生化/酶学实验支持。</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Score3：敲除、遗传、生理表型等较强功能证据。</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Score2：间接证据、序列同源/数据库支持。</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Score1：弱证据、gap-fill/模型功能性推断。</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注意：分数属于“具体 reaction/GPR 结论”，不是属于基因名字。一个基因若无法定义具体反应，就是暂不可评分，而不是自动 Score1。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64ogvssc9dqc" w:id="7"/>
      <w:bookmarkEnd w:id="7"/>
      <w:r w:rsidDel="00000000" w:rsidR="00000000" w:rsidRPr="00000000">
        <w:rPr>
          <w:rFonts w:ascii="Arial Unicode MS" w:cs="Arial Unicode MS" w:eastAsia="Arial Unicode MS" w:hAnsi="Arial Unicode MS"/>
          <w:rtl w:val="0"/>
        </w:rPr>
        <w:t xml:space="preserve">七、当前已知的重点未决模型问题</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这些问题进入模型线时只能做 QC/敏感性或待裁决项，不要静默修改：</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AFE_0269 / RU820_RS01305：同株重组证据支持 GSH-dependent SDO，但不能仅因名称相似直接覆盖 legacy SULDO 化学。</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AFE_0660 / RU820_RS03190：malic enzyme / MDH 注释与辅因子、具体反应仍需基因专属证据。</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AFE_2841 / RU820_RS13140：BDGK/GPR问题；针对 AFE_1807 的证据不能外推证明 AFE_2841。</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AFE_2024 / RU820_RS09355：oxidative 6PGDH 与 legacy PGDH dehydration 必须按化学反应区分。</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AFE_0048 / RU820_RS00240：DoxD/TSQOC涉及替代/复合体关系，多同工酶/亚基不能自动解释为更大flux capacity。</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CA2tpp、NA1tpp：转运化学计量和方向仍有不确定性，只能进入QC/敏感性。</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biomass glycogen coefficient：2016的0.15与2024的0.026都缺同株定量依据，不应静默替换，应做敏感性。</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ETC OR GPR：OR代表替代能力，不代表多个同工酶容量相加；条件特异模块可能只是不同状态下的活跃子集。</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CYTBD质子系数等旧模型经验参数：需要单独做模型QC，不应因为通用Rhea式不同就直接改。</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3qom11rjkim6" w:id="8"/>
      <w:bookmarkEnd w:id="8"/>
      <w:r w:rsidDel="00000000" w:rsidR="00000000" w:rsidRPr="00000000">
        <w:rPr>
          <w:rFonts w:ascii="Arial Unicode MS" w:cs="Arial Unicode MS" w:eastAsia="Arial Unicode MS" w:hAnsi="Arial Unicode MS"/>
          <w:rtl w:val="0"/>
        </w:rPr>
        <w:t xml:space="preserve">八、模型线：2026_baseline_v0 的定义</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baseline_v0 必须是“冻结的2016 iMC507网络”，而不是半审查状态下不断变化的混合模型。当前RU820/WP↔AFE映射可以加在注释层，但不改变网络结构。所有G5X新发现先进入 patch list，不直接污染 baseline。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baseline_v0 的作用：</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1. 建立可重复的计算基准。</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2. 先判断2016网络本身在当前软件/求解器/培养条件下是否可复现和稳定。</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3. 后续每个2026 patch 都能与同一个基准比较，明确是哪项修改造成预测变化。</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4. 避免一次性改几十处后无法定位结果变化来源。</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umnsalo3wl3j" w:id="9"/>
      <w:bookmarkEnd w:id="9"/>
      <w:r w:rsidDel="00000000" w:rsidR="00000000" w:rsidRPr="00000000">
        <w:rPr>
          <w:rFonts w:ascii="Arial Unicode MS" w:cs="Arial Unicode MS" w:eastAsia="Arial Unicode MS" w:hAnsi="Arial Unicode MS"/>
          <w:rtl w:val="0"/>
        </w:rPr>
        <w:t xml:space="preserve">九、下一聊天框的第一任务：规划并启动 baseline_v0 验证/运行</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下一聊天框不要重新讨论“是否等G5X结束”；该决定已作出。第一件事是把 baseline_v0 的运行计划具体化，并确认所需输入文件、培养条件、solver和验收指标。推荐按以下阶段推进：</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3t67tn31ss8a" w:id="10"/>
      <w:bookmarkEnd w:id="10"/>
      <w:r w:rsidDel="00000000" w:rsidR="00000000" w:rsidRPr="00000000">
        <w:rPr>
          <w:rFonts w:ascii="Arial Unicode MS" w:cs="Arial Unicode MS" w:eastAsia="Arial Unicode MS" w:hAnsi="Arial Unicode MS"/>
          <w:rtl w:val="0"/>
        </w:rPr>
        <w:t xml:space="preserve">Phase 0｜冻结输入与版本</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确认2016原始 iMC507 SBML/补表、模型文件校验值、软件环境、COBRA版本、solver、目标函数、exchange bounds、培养条件定义。建立只读 baseline_v0；任何修复必须另存分支，不能覆盖原始baseline。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swmoshq1xufo" w:id="11"/>
      <w:bookmarkEnd w:id="11"/>
      <w:r w:rsidDel="00000000" w:rsidR="00000000" w:rsidRPr="00000000">
        <w:rPr>
          <w:rFonts w:ascii="Arial Unicode MS" w:cs="Arial Unicode MS" w:eastAsia="Arial Unicode MS" w:hAnsi="Arial Unicode MS"/>
          <w:rtl w:val="0"/>
        </w:rPr>
        <w:t xml:space="preserve">Phase 1｜结构与数值 QC</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统计 metabolites/reactions/genes/compartments；检查重复ID、GPR可解析性、exchange/demand/sink、目标函数、reaction bounds；检查 S·v 数值一致性、可判定的元素/电荷平衡、dead-end metabolites、blocked reactions、不可逆方向异常和 energy-generating cycles。对缺公式/缺电荷的反应只能标记，不能伪装成通过。</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ltqvtu2zzuyd" w:id="12"/>
      <w:bookmarkEnd w:id="12"/>
      <w:r w:rsidDel="00000000" w:rsidR="00000000" w:rsidRPr="00000000">
        <w:rPr>
          <w:rFonts w:ascii="Arial Unicode MS" w:cs="Arial Unicode MS" w:eastAsia="Arial Unicode MS" w:hAnsi="Arial Unicode MS"/>
          <w:rtl w:val="0"/>
        </w:rPr>
        <w:t xml:space="preserve">Phase 2｜复现2016论文</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直接回到2016原论文及 Supplementary Table，逐项确定论文真正报告了哪些培养条件、目标函数、关键flux/生长结果和约束。使用同样设置复现，不凭记忆补参数。输出“论文值—复现值—差异—原因”。</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y0g297si6kse" w:id="13"/>
      <w:bookmarkEnd w:id="13"/>
      <w:r w:rsidDel="00000000" w:rsidR="00000000" w:rsidRPr="00000000">
        <w:rPr>
          <w:rFonts w:ascii="Arial Unicode MS" w:cs="Arial Unicode MS" w:eastAsia="Arial Unicode MS" w:hAnsi="Arial Unicode MS"/>
          <w:rtl w:val="0"/>
        </w:rPr>
        <w:t xml:space="preserve">Phase 3｜基础生理 sanity check</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在论文条件和已知生理边界下检查模型是否能正确表达该菌的核心生存逻辑，例如无机碳固定、Fe/S相关电子供体利用、氧受体与呼吸、核心生物量合成等。这里要区分“模型可行”与“有同株实验定量支持”。</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c7i12zuleb0t" w:id="14"/>
      <w:bookmarkEnd w:id="14"/>
      <w:r w:rsidDel="00000000" w:rsidR="00000000" w:rsidRPr="00000000">
        <w:rPr>
          <w:rFonts w:ascii="Arial Unicode MS" w:cs="Arial Unicode MS" w:eastAsia="Arial Unicode MS" w:hAnsi="Arial Unicode MS"/>
          <w:rtl w:val="0"/>
        </w:rPr>
        <w:t xml:space="preserve">Phase 4｜建立标准 baseline 分析</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在通过前述复现/QC后，再固定标准 FBA、pFBA、FVA 输出，并明确每项的培养基、目标函数、约束和数值容差。后续所有patch都复用完全相同的回归测试。</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2d8dcbk84ju" w:id="15"/>
      <w:bookmarkEnd w:id="15"/>
      <w:r w:rsidDel="00000000" w:rsidR="00000000" w:rsidRPr="00000000">
        <w:rPr>
          <w:rFonts w:ascii="Arial Unicode MS" w:cs="Arial Unicode MS" w:eastAsia="Arial Unicode MS" w:hAnsi="Arial Unicode MS"/>
          <w:rtl w:val="0"/>
        </w:rPr>
        <w:t xml:space="preserve">Phase 5｜不确定参数敏感性</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对 glycogen biomass coefficient、CA2tpp/NA1tpp、CYTBD质子系数、个别ETC方向/边界等已知不确定项做显式 sensitivity，不把任一假设静默写成“2026正确值”。</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q4eaimnigu9c" w:id="16"/>
      <w:bookmarkEnd w:id="16"/>
      <w:r w:rsidDel="00000000" w:rsidR="00000000" w:rsidRPr="00000000">
        <w:rPr>
          <w:rFonts w:ascii="Arial Unicode MS" w:cs="Arial Unicode MS" w:eastAsia="Arial Unicode MS" w:hAnsi="Arial Unicode MS"/>
          <w:rtl w:val="0"/>
        </w:rPr>
        <w:t xml:space="preserve">Phase 6｜G5X patch 回归</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建立 2026_patch_list。每一条 patch 至少包含：current RU820/WP、旧AFE溯源、目标 reaction/GPR、旧模型状态、精确化学式/区室/方向、证据来源与边界、confidence score、模型动作、预期影响、是否已通过baseline回归测试。只有通过证据与QC的patch才进入 reconstruction_v1。</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ur6fguik3w9y" w:id="17"/>
      <w:bookmarkEnd w:id="17"/>
      <w:r w:rsidDel="00000000" w:rsidR="00000000" w:rsidRPr="00000000">
        <w:rPr>
          <w:rFonts w:ascii="Arial Unicode MS" w:cs="Arial Unicode MS" w:eastAsia="Arial Unicode MS" w:hAnsi="Arial Unicode MS"/>
          <w:rtl w:val="0"/>
        </w:rPr>
        <w:t xml:space="preserve">十、下一聊天框必须继承的工作习惯</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不要因为最新数据库有名字就直接写reaction；数据库注释必须落实到具体化学和证据边界。</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不要因为找不到同株直接论文就删除当前官方基因；这只影响模型动作和confidence。</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不要把AFE映射当成当前基因合法性的门槛。</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不要把G5X的“暂无可正式新增”写成“没有新基因”。</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不要直接修改正式SBML；先建立baseline、patch list、回归测试，再产生新版本。</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不要让2024 engineered model替代2016 natural-host scaffold。</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Alpha证据表中的早期45个候选不是完整候选全集，它们来自旧E4 shortlist，不能作为2929审查的边界。</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所有新增/修改必须能追溯到“当前基因 → 功能 → reaction → 2016对照 → 证据 → score → model action”。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k0xrehl5m0lh" w:id="18"/>
      <w:bookmarkEnd w:id="18"/>
      <w:r w:rsidDel="00000000" w:rsidR="00000000" w:rsidRPr="00000000">
        <w:rPr>
          <w:rFonts w:ascii="Arial Unicode MS" w:cs="Arial Unicode MS" w:eastAsia="Arial Unicode MS" w:hAnsi="Arial Unicode MS"/>
          <w:rtl w:val="0"/>
        </w:rPr>
        <w:t xml:space="preserve">十一、下一阶段成功标准</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下一聊天框的首要成功不是立即得到“最终2026模型”，而是建立一个可靠、可重复、可回归比较的 baseline_v0 运行框架，并输出第一版 QC/复现结果。同时 G51–G510 继续并行审查；一旦出现真正闭环的高可信修改，就进入 patch list，而不是打断 baseline 工作流。</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