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B02C" w14:textId="77777777" w:rsidR="003C54A7" w:rsidRDefault="003C54A7"/>
    <w:p w14:paraId="1F4F6D4A" w14:textId="77777777" w:rsidR="003C54A7" w:rsidRDefault="003C54A7"/>
    <w:p w14:paraId="74ABEBBE" w14:textId="071BF9EC" w:rsidR="003C54A7" w:rsidRPr="00D73E48" w:rsidRDefault="002413B1" w:rsidP="00C67922">
      <w:pPr>
        <w:rPr>
          <w:b/>
          <w:bCs/>
          <w:sz w:val="32"/>
          <w:szCs w:val="32"/>
        </w:rPr>
      </w:pPr>
      <w:proofErr w:type="gramStart"/>
      <w:r w:rsidRPr="00D73E48">
        <w:rPr>
          <w:b/>
          <w:bCs/>
          <w:color w:val="0078D4"/>
          <w:sz w:val="32"/>
          <w:szCs w:val="32"/>
        </w:rPr>
        <w:t>How</w:t>
      </w:r>
      <w:proofErr w:type="gramEnd"/>
      <w:r w:rsidRPr="00D73E48">
        <w:rPr>
          <w:b/>
          <w:bCs/>
          <w:color w:val="0078D4"/>
          <w:sz w:val="32"/>
          <w:szCs w:val="32"/>
        </w:rPr>
        <w:t xml:space="preserve"> modular boundaries, time-series data, specialized AI personas, and human governance</w:t>
      </w:r>
      <w:r w:rsidR="00C67922" w:rsidRPr="00D73E48">
        <w:rPr>
          <w:b/>
          <w:bCs/>
          <w:color w:val="0078D4"/>
          <w:sz w:val="32"/>
          <w:szCs w:val="32"/>
        </w:rPr>
        <w:t xml:space="preserve"> </w:t>
      </w:r>
      <w:r w:rsidRPr="00D73E48">
        <w:rPr>
          <w:b/>
          <w:bCs/>
          <w:color w:val="0078D4"/>
          <w:sz w:val="32"/>
          <w:szCs w:val="32"/>
        </w:rPr>
        <w:t>turn cloud cost data into an extensible engineering platform</w:t>
      </w:r>
    </w:p>
    <w:p w14:paraId="027FC86C" w14:textId="77777777" w:rsidR="003C54A7" w:rsidRDefault="003C54A7"/>
    <w:p w14:paraId="7B81C106" w14:textId="77777777" w:rsidR="003C54A7" w:rsidRDefault="002413B1">
      <w:pPr>
        <w:jc w:val="center"/>
      </w:pPr>
      <w:r>
        <w:rPr>
          <w:b/>
        </w:rPr>
        <w:t xml:space="preserve">GitHub: </w:t>
      </w:r>
      <w:hyperlink r:id="rId8">
        <w:r>
          <w:rPr>
            <w:color w:val="0078D4"/>
            <w:u w:val="single"/>
          </w:rPr>
          <w:t>https://github.com/nk2242696/CostMonitoringMultiAgent</w:t>
        </w:r>
      </w:hyperlink>
    </w:p>
    <w:p w14:paraId="6C56847E" w14:textId="77777777" w:rsidR="00D73E48" w:rsidRDefault="00D73E48">
      <w:pPr>
        <w:jc w:val="center"/>
      </w:pPr>
    </w:p>
    <w:p w14:paraId="1C694B53" w14:textId="77777777" w:rsidR="00D73E48" w:rsidRDefault="00D73E48">
      <w:pPr>
        <w:jc w:val="center"/>
      </w:pPr>
    </w:p>
    <w:p w14:paraId="32D07AA1" w14:textId="77777777" w:rsidR="00D73E48" w:rsidRDefault="00D73E48">
      <w:pPr>
        <w:jc w:val="center"/>
      </w:pPr>
    </w:p>
    <w:p w14:paraId="3BD7015C" w14:textId="77777777" w:rsidR="003C54A7" w:rsidRDefault="002413B1">
      <w:pPr>
        <w:spacing w:after="60"/>
        <w:jc w:val="center"/>
      </w:pPr>
      <w:r>
        <w:rPr>
          <w:noProof/>
        </w:rPr>
        <w:drawing>
          <wp:inline distT="0" distB="0" distL="0" distR="0" wp14:anchorId="3C2248F1" wp14:editId="0A55083E">
            <wp:extent cx="5832000" cy="34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9"/>
                    <a:stretch>
                      <a:fillRect/>
                    </a:stretch>
                  </pic:blipFill>
                  <pic:spPr>
                    <a:xfrm>
                      <a:off x="0" y="0"/>
                      <a:ext cx="5832000" cy="3402000"/>
                    </a:xfrm>
                    <a:prstGeom prst="rect">
                      <a:avLst/>
                    </a:prstGeom>
                  </pic:spPr>
                </pic:pic>
              </a:graphicData>
            </a:graphic>
          </wp:inline>
        </w:drawing>
      </w:r>
    </w:p>
    <w:p w14:paraId="425BFBC4" w14:textId="77777777" w:rsidR="003C54A7" w:rsidRDefault="002413B1">
      <w:pPr>
        <w:pStyle w:val="PortfolioCaption"/>
        <w:keepNext/>
        <w:jc w:val="center"/>
      </w:pPr>
      <w:r>
        <w:t>High-level architecture: evidence flows inward; governed decisions flow outward.</w:t>
      </w:r>
    </w:p>
    <w:tbl>
      <w:tblPr>
        <w:tblW w:w="0" w:type="auto"/>
        <w:jc w:val="center"/>
        <w:tblLayout w:type="fixed"/>
        <w:tblLook w:val="04A0" w:firstRow="1" w:lastRow="0" w:firstColumn="1" w:lastColumn="0" w:noHBand="0" w:noVBand="1"/>
      </w:tblPr>
      <w:tblGrid>
        <w:gridCol w:w="280"/>
        <w:gridCol w:w="9756"/>
      </w:tblGrid>
      <w:tr w:rsidR="003C54A7" w14:paraId="1783C8BF" w14:textId="77777777" w:rsidTr="00C67922">
        <w:trPr>
          <w:jc w:val="center"/>
        </w:trPr>
        <w:tc>
          <w:tcPr>
            <w:tcW w:w="280" w:type="dxa"/>
            <w:shd w:val="clear" w:color="auto" w:fill="008C95"/>
            <w:tcMar>
              <w:top w:w="100" w:type="dxa"/>
              <w:left w:w="130" w:type="dxa"/>
              <w:bottom w:w="100" w:type="dxa"/>
              <w:right w:w="130" w:type="dxa"/>
            </w:tcMar>
          </w:tcPr>
          <w:p w14:paraId="5DD663C5" w14:textId="77777777" w:rsidR="003C54A7" w:rsidRDefault="003C54A7"/>
        </w:tc>
        <w:tc>
          <w:tcPr>
            <w:tcW w:w="9756" w:type="dxa"/>
            <w:shd w:val="clear" w:color="auto" w:fill="E8F6F5"/>
            <w:tcMar>
              <w:top w:w="100" w:type="dxa"/>
              <w:left w:w="130" w:type="dxa"/>
              <w:bottom w:w="100" w:type="dxa"/>
              <w:right w:w="130" w:type="dxa"/>
            </w:tcMar>
            <w:vAlign w:val="center"/>
          </w:tcPr>
          <w:p w14:paraId="04BE670B" w14:textId="77777777" w:rsidR="003C54A7" w:rsidRDefault="002413B1">
            <w:pPr>
              <w:pStyle w:val="Callout"/>
            </w:pPr>
            <w:r>
              <w:t xml:space="preserve">The short </w:t>
            </w:r>
            <w:proofErr w:type="gramStart"/>
            <w:r>
              <w:t xml:space="preserve">version  </w:t>
            </w:r>
            <w:r>
              <w:rPr>
                <w:b w:val="0"/>
              </w:rPr>
              <w:t>Treat</w:t>
            </w:r>
            <w:proofErr w:type="gramEnd"/>
            <w:r>
              <w:rPr>
                <w:b w:val="0"/>
              </w:rPr>
              <w:t xml:space="preserve"> AI as a reasoning layer over trusted FinOps evidence—not as the database, calculator, policy engine, or cloud executor.</w:t>
            </w:r>
          </w:p>
        </w:tc>
      </w:tr>
    </w:tbl>
    <w:p w14:paraId="35B90042" w14:textId="77777777" w:rsidR="003C54A7" w:rsidRDefault="003C54A7">
      <w:pPr>
        <w:spacing w:after="0"/>
      </w:pPr>
    </w:p>
    <w:p w14:paraId="154BB8A6" w14:textId="77777777" w:rsidR="003C54A7" w:rsidRDefault="002413B1">
      <w:r>
        <w:br w:type="page"/>
      </w:r>
    </w:p>
    <w:p w14:paraId="14F77586" w14:textId="77777777" w:rsidR="003C54A7" w:rsidRDefault="002413B1">
      <w:pPr>
        <w:pStyle w:val="Heading1"/>
      </w:pPr>
      <w:r>
        <w:lastRenderedPageBreak/>
        <w:t>The architecture problem is not ‘where do we call the LLM?’</w:t>
      </w:r>
    </w:p>
    <w:p w14:paraId="74645883" w14:textId="77777777" w:rsidR="003C54A7" w:rsidRPr="00D73E48" w:rsidRDefault="002413B1">
      <w:pPr>
        <w:spacing w:after="160"/>
        <w:rPr>
          <w:b/>
          <w:bCs/>
          <w:u w:val="single"/>
        </w:rPr>
      </w:pPr>
      <w:r w:rsidRPr="00D73E48">
        <w:rPr>
          <w:b/>
          <w:bCs/>
          <w:i/>
          <w:color w:val="52606D"/>
          <w:sz w:val="21"/>
          <w:u w:val="single"/>
        </w:rPr>
        <w:t>It is deciding which responsibilities must remain deterministic and where probabilistic reasoning adds value.</w:t>
      </w:r>
    </w:p>
    <w:p w14:paraId="48A49AB1" w14:textId="77777777" w:rsidR="003C54A7" w:rsidRDefault="002413B1">
      <w:r>
        <w:t>Cloud cost platforms begin simply: ingest billing data, calculate totals, and draw a dashboard. Complexity arrives when users ask higher-order questions—why did spend move, which resource is responsible, whether a recommendation is safe, and who should approve it. Those questions cross data, architecture, risk, and communication boundaries.</w:t>
      </w:r>
    </w:p>
    <w:p w14:paraId="6DCF50F0" w14:textId="77777777" w:rsidR="003C54A7" w:rsidRDefault="002413B1">
      <w:r>
        <w:t>A single service can answer all of them for a prototype. At scale, that design produces hidden coupling: collection code knows dashboard schemas, AI prompts know database tables, schedulers own business rules, and every provider change creates a cross-cutting rewrite. The system becomes difficult to test precisely because no component has a narrow contract.</w:t>
      </w:r>
    </w:p>
    <w:p w14:paraId="456102D2" w14:textId="77777777" w:rsidR="003C54A7" w:rsidRDefault="002413B1">
      <w:r>
        <w:t xml:space="preserve">The design therefore starts with boundaries, not </w:t>
      </w:r>
      <w:proofErr w:type="gramStart"/>
      <w:r>
        <w:t>technologies</w:t>
      </w:r>
      <w:proofErr w:type="gramEnd"/>
      <w:r>
        <w:t>. Collection produces canonical evidence. Domain services calculate financial facts. Agents coordinate investigation. Governance evaluates proposals. APIs and dashboards present outcomes. Infrastructure makes those modules repeatable and observable.</w:t>
      </w:r>
    </w:p>
    <w:tbl>
      <w:tblPr>
        <w:tblStyle w:val="TableGrid"/>
        <w:tblW w:w="0" w:type="auto"/>
        <w:jc w:val="center"/>
        <w:tblLayout w:type="fixed"/>
        <w:tblLook w:val="04A0" w:firstRow="1" w:lastRow="0" w:firstColumn="1" w:lastColumn="0" w:noHBand="0" w:noVBand="1"/>
      </w:tblPr>
      <w:tblGrid>
        <w:gridCol w:w="2835"/>
        <w:gridCol w:w="6803"/>
      </w:tblGrid>
      <w:tr w:rsidR="003C54A7" w14:paraId="59A237F7" w14:textId="77777777">
        <w:trPr>
          <w:tblHeader/>
          <w:jc w:val="center"/>
        </w:trPr>
        <w:tc>
          <w:tcPr>
            <w:tcW w:w="2835" w:type="dxa"/>
            <w:shd w:val="clear" w:color="auto" w:fill="17365D"/>
            <w:tcMar>
              <w:top w:w="45" w:type="dxa"/>
              <w:left w:w="85" w:type="dxa"/>
              <w:bottom w:w="45" w:type="dxa"/>
              <w:right w:w="85" w:type="dxa"/>
            </w:tcMar>
          </w:tcPr>
          <w:p w14:paraId="35B6010A" w14:textId="77777777" w:rsidR="003C54A7" w:rsidRDefault="002413B1">
            <w:r>
              <w:rPr>
                <w:b/>
                <w:color w:val="FFFFFF"/>
              </w:rPr>
              <w:t>Architectural concern</w:t>
            </w:r>
          </w:p>
        </w:tc>
        <w:tc>
          <w:tcPr>
            <w:tcW w:w="6803" w:type="dxa"/>
            <w:shd w:val="clear" w:color="auto" w:fill="17365D"/>
            <w:tcMar>
              <w:top w:w="45" w:type="dxa"/>
              <w:left w:w="85" w:type="dxa"/>
              <w:bottom w:w="45" w:type="dxa"/>
              <w:right w:w="85" w:type="dxa"/>
            </w:tcMar>
          </w:tcPr>
          <w:p w14:paraId="2252B2CD" w14:textId="77777777" w:rsidR="003C54A7" w:rsidRDefault="002413B1">
            <w:r>
              <w:rPr>
                <w:b/>
                <w:color w:val="FFFFFF"/>
              </w:rPr>
              <w:t>Decision</w:t>
            </w:r>
          </w:p>
        </w:tc>
      </w:tr>
      <w:tr w:rsidR="003C54A7" w14:paraId="0C1CBD68" w14:textId="77777777">
        <w:trPr>
          <w:cantSplit/>
          <w:jc w:val="center"/>
        </w:trPr>
        <w:tc>
          <w:tcPr>
            <w:tcW w:w="2835" w:type="dxa"/>
            <w:tcMar>
              <w:top w:w="45" w:type="dxa"/>
              <w:left w:w="85" w:type="dxa"/>
              <w:bottom w:w="45" w:type="dxa"/>
              <w:right w:w="85" w:type="dxa"/>
            </w:tcMar>
          </w:tcPr>
          <w:p w14:paraId="3F49E23C" w14:textId="77777777" w:rsidR="003C54A7" w:rsidRDefault="002413B1">
            <w:r>
              <w:t>Financial correctness</w:t>
            </w:r>
          </w:p>
        </w:tc>
        <w:tc>
          <w:tcPr>
            <w:tcW w:w="6803" w:type="dxa"/>
            <w:tcMar>
              <w:top w:w="45" w:type="dxa"/>
              <w:left w:w="85" w:type="dxa"/>
              <w:bottom w:w="45" w:type="dxa"/>
              <w:right w:w="85" w:type="dxa"/>
            </w:tcMar>
          </w:tcPr>
          <w:p w14:paraId="1078FA08" w14:textId="77777777" w:rsidR="003C54A7" w:rsidRDefault="002413B1">
            <w:r>
              <w:t>Keep totals, budgets, forecasts, and reference savings deterministic and testable.</w:t>
            </w:r>
          </w:p>
        </w:tc>
      </w:tr>
      <w:tr w:rsidR="003C54A7" w14:paraId="70886319" w14:textId="77777777">
        <w:trPr>
          <w:cantSplit/>
          <w:jc w:val="center"/>
        </w:trPr>
        <w:tc>
          <w:tcPr>
            <w:tcW w:w="2835" w:type="dxa"/>
            <w:shd w:val="clear" w:color="auto" w:fill="F3F5F7"/>
            <w:tcMar>
              <w:top w:w="45" w:type="dxa"/>
              <w:left w:w="85" w:type="dxa"/>
              <w:bottom w:w="45" w:type="dxa"/>
              <w:right w:w="85" w:type="dxa"/>
            </w:tcMar>
          </w:tcPr>
          <w:p w14:paraId="459AF09C" w14:textId="77777777" w:rsidR="003C54A7" w:rsidRDefault="002413B1">
            <w:r>
              <w:t>Ambiguous investigation</w:t>
            </w:r>
          </w:p>
        </w:tc>
        <w:tc>
          <w:tcPr>
            <w:tcW w:w="6803" w:type="dxa"/>
            <w:shd w:val="clear" w:color="auto" w:fill="F3F5F7"/>
            <w:tcMar>
              <w:top w:w="45" w:type="dxa"/>
              <w:left w:w="85" w:type="dxa"/>
              <w:bottom w:w="45" w:type="dxa"/>
              <w:right w:w="85" w:type="dxa"/>
            </w:tcMar>
          </w:tcPr>
          <w:p w14:paraId="640D627E" w14:textId="77777777" w:rsidR="003C54A7" w:rsidRDefault="002413B1">
            <w:r>
              <w:t>Use specialized agents to select evidence, reconcile findings, and explain trade-offs.</w:t>
            </w:r>
          </w:p>
        </w:tc>
      </w:tr>
      <w:tr w:rsidR="003C54A7" w14:paraId="49CEB3E8" w14:textId="77777777">
        <w:trPr>
          <w:cantSplit/>
          <w:jc w:val="center"/>
        </w:trPr>
        <w:tc>
          <w:tcPr>
            <w:tcW w:w="2835" w:type="dxa"/>
            <w:tcMar>
              <w:top w:w="45" w:type="dxa"/>
              <w:left w:w="85" w:type="dxa"/>
              <w:bottom w:w="45" w:type="dxa"/>
              <w:right w:w="85" w:type="dxa"/>
            </w:tcMar>
          </w:tcPr>
          <w:p w14:paraId="3B4EA26E" w14:textId="77777777" w:rsidR="003C54A7" w:rsidRDefault="002413B1">
            <w:r>
              <w:t>Operational safety</w:t>
            </w:r>
          </w:p>
        </w:tc>
        <w:tc>
          <w:tcPr>
            <w:tcW w:w="6803" w:type="dxa"/>
            <w:tcMar>
              <w:top w:w="45" w:type="dxa"/>
              <w:left w:w="85" w:type="dxa"/>
              <w:bottom w:w="45" w:type="dxa"/>
              <w:right w:w="85" w:type="dxa"/>
            </w:tcMar>
          </w:tcPr>
          <w:p w14:paraId="52BA229D" w14:textId="77777777" w:rsidR="003C54A7" w:rsidRDefault="002413B1">
            <w:r>
              <w:t>Make tools read-only and require human approval for every proposal.</w:t>
            </w:r>
          </w:p>
        </w:tc>
      </w:tr>
      <w:tr w:rsidR="003C54A7" w14:paraId="1D1CBF1F" w14:textId="77777777">
        <w:trPr>
          <w:cantSplit/>
          <w:jc w:val="center"/>
        </w:trPr>
        <w:tc>
          <w:tcPr>
            <w:tcW w:w="2835" w:type="dxa"/>
            <w:shd w:val="clear" w:color="auto" w:fill="F3F5F7"/>
            <w:tcMar>
              <w:top w:w="45" w:type="dxa"/>
              <w:left w:w="85" w:type="dxa"/>
              <w:bottom w:w="45" w:type="dxa"/>
              <w:right w:w="85" w:type="dxa"/>
            </w:tcMar>
          </w:tcPr>
          <w:p w14:paraId="19D8A114" w14:textId="77777777" w:rsidR="003C54A7" w:rsidRDefault="002413B1">
            <w:r>
              <w:t>Evolution</w:t>
            </w:r>
          </w:p>
        </w:tc>
        <w:tc>
          <w:tcPr>
            <w:tcW w:w="6803" w:type="dxa"/>
            <w:shd w:val="clear" w:color="auto" w:fill="F3F5F7"/>
            <w:tcMar>
              <w:top w:w="45" w:type="dxa"/>
              <w:left w:w="85" w:type="dxa"/>
              <w:bottom w:w="45" w:type="dxa"/>
              <w:right w:w="85" w:type="dxa"/>
            </w:tcMar>
          </w:tcPr>
          <w:p w14:paraId="26A82EEB" w14:textId="77777777" w:rsidR="003C54A7" w:rsidRDefault="002413B1">
            <w:r>
              <w:t>Connect modules through typed contracts and repositories rather than implementation details.</w:t>
            </w:r>
          </w:p>
        </w:tc>
      </w:tr>
    </w:tbl>
    <w:p w14:paraId="72DCC241" w14:textId="77777777" w:rsidR="003C54A7" w:rsidRDefault="002413B1">
      <w:pPr>
        <w:pStyle w:val="Heading1"/>
      </w:pPr>
      <w:r>
        <w:t xml:space="preserve">A modular core keeps </w:t>
      </w:r>
      <w:proofErr w:type="gramStart"/>
      <w:r>
        <w:t>change</w:t>
      </w:r>
      <w:proofErr w:type="gramEnd"/>
      <w:r>
        <w:t xml:space="preserve"> local</w:t>
      </w:r>
    </w:p>
    <w:p w14:paraId="1A152815" w14:textId="77777777" w:rsidR="003C54A7" w:rsidRDefault="002413B1">
      <w:pPr>
        <w:spacing w:after="160"/>
      </w:pPr>
      <w:r>
        <w:rPr>
          <w:i/>
          <w:color w:val="52606D"/>
          <w:sz w:val="21"/>
        </w:rPr>
        <w:t>A senior architecture optimizes for the cost of the next change, not only the first release.</w:t>
      </w:r>
    </w:p>
    <w:tbl>
      <w:tblPr>
        <w:tblStyle w:val="TableGrid"/>
        <w:tblW w:w="0" w:type="auto"/>
        <w:jc w:val="center"/>
        <w:tblLayout w:type="fixed"/>
        <w:tblLook w:val="04A0" w:firstRow="1" w:lastRow="0" w:firstColumn="1" w:lastColumn="0" w:noHBand="0" w:noVBand="1"/>
      </w:tblPr>
      <w:tblGrid>
        <w:gridCol w:w="2154"/>
        <w:gridCol w:w="3628"/>
        <w:gridCol w:w="3855"/>
      </w:tblGrid>
      <w:tr w:rsidR="003C54A7" w14:paraId="03179C0B" w14:textId="77777777">
        <w:trPr>
          <w:tblHeader/>
          <w:jc w:val="center"/>
        </w:trPr>
        <w:tc>
          <w:tcPr>
            <w:tcW w:w="2154" w:type="dxa"/>
            <w:shd w:val="clear" w:color="auto" w:fill="17365D"/>
            <w:tcMar>
              <w:top w:w="45" w:type="dxa"/>
              <w:left w:w="85" w:type="dxa"/>
              <w:bottom w:w="45" w:type="dxa"/>
              <w:right w:w="85" w:type="dxa"/>
            </w:tcMar>
          </w:tcPr>
          <w:p w14:paraId="38AF79D5" w14:textId="77777777" w:rsidR="003C54A7" w:rsidRDefault="002413B1">
            <w:r>
              <w:rPr>
                <w:b/>
                <w:color w:val="FFFFFF"/>
              </w:rPr>
              <w:t>Module</w:t>
            </w:r>
          </w:p>
        </w:tc>
        <w:tc>
          <w:tcPr>
            <w:tcW w:w="3628" w:type="dxa"/>
            <w:shd w:val="clear" w:color="auto" w:fill="17365D"/>
            <w:tcMar>
              <w:top w:w="45" w:type="dxa"/>
              <w:left w:w="85" w:type="dxa"/>
              <w:bottom w:w="45" w:type="dxa"/>
              <w:right w:w="85" w:type="dxa"/>
            </w:tcMar>
          </w:tcPr>
          <w:p w14:paraId="3EE1AFCE" w14:textId="77777777" w:rsidR="003C54A7" w:rsidRDefault="002413B1">
            <w:r>
              <w:rPr>
                <w:b/>
                <w:color w:val="FFFFFF"/>
              </w:rPr>
              <w:t>Owns</w:t>
            </w:r>
          </w:p>
        </w:tc>
        <w:tc>
          <w:tcPr>
            <w:tcW w:w="3855" w:type="dxa"/>
            <w:shd w:val="clear" w:color="auto" w:fill="17365D"/>
            <w:tcMar>
              <w:top w:w="45" w:type="dxa"/>
              <w:left w:w="85" w:type="dxa"/>
              <w:bottom w:w="45" w:type="dxa"/>
              <w:right w:w="85" w:type="dxa"/>
            </w:tcMar>
          </w:tcPr>
          <w:p w14:paraId="732239FD" w14:textId="77777777" w:rsidR="003C54A7" w:rsidRDefault="002413B1">
            <w:r>
              <w:rPr>
                <w:b/>
                <w:color w:val="FFFFFF"/>
              </w:rPr>
              <w:t>Can change without rewriting</w:t>
            </w:r>
          </w:p>
        </w:tc>
      </w:tr>
      <w:tr w:rsidR="003C54A7" w14:paraId="4C0A7AF2" w14:textId="77777777">
        <w:trPr>
          <w:cantSplit/>
          <w:jc w:val="center"/>
        </w:trPr>
        <w:tc>
          <w:tcPr>
            <w:tcW w:w="2154" w:type="dxa"/>
            <w:tcMar>
              <w:top w:w="45" w:type="dxa"/>
              <w:left w:w="85" w:type="dxa"/>
              <w:bottom w:w="45" w:type="dxa"/>
              <w:right w:w="85" w:type="dxa"/>
            </w:tcMar>
          </w:tcPr>
          <w:p w14:paraId="3BCA12A9" w14:textId="77777777" w:rsidR="003C54A7" w:rsidRDefault="002413B1">
            <w:r>
              <w:t>Azure integration</w:t>
            </w:r>
          </w:p>
        </w:tc>
        <w:tc>
          <w:tcPr>
            <w:tcW w:w="3628" w:type="dxa"/>
            <w:tcMar>
              <w:top w:w="45" w:type="dxa"/>
              <w:left w:w="85" w:type="dxa"/>
              <w:bottom w:w="45" w:type="dxa"/>
              <w:right w:w="85" w:type="dxa"/>
            </w:tcMar>
          </w:tcPr>
          <w:p w14:paraId="523AADDE" w14:textId="77777777" w:rsidR="003C54A7" w:rsidRDefault="002413B1">
            <w:r>
              <w:t>Authentication and provider API translation</w:t>
            </w:r>
          </w:p>
        </w:tc>
        <w:tc>
          <w:tcPr>
            <w:tcW w:w="3855" w:type="dxa"/>
            <w:tcMar>
              <w:top w:w="45" w:type="dxa"/>
              <w:left w:w="85" w:type="dxa"/>
              <w:bottom w:w="45" w:type="dxa"/>
              <w:right w:w="85" w:type="dxa"/>
            </w:tcMar>
          </w:tcPr>
          <w:p w14:paraId="302D11A4" w14:textId="77777777" w:rsidR="003C54A7" w:rsidRDefault="002413B1">
            <w:r>
              <w:t>Domain logic, agents, dashboards</w:t>
            </w:r>
          </w:p>
        </w:tc>
      </w:tr>
      <w:tr w:rsidR="003C54A7" w14:paraId="241C1614" w14:textId="77777777">
        <w:trPr>
          <w:cantSplit/>
          <w:jc w:val="center"/>
        </w:trPr>
        <w:tc>
          <w:tcPr>
            <w:tcW w:w="2154" w:type="dxa"/>
            <w:shd w:val="clear" w:color="auto" w:fill="F3F5F7"/>
            <w:tcMar>
              <w:top w:w="45" w:type="dxa"/>
              <w:left w:w="85" w:type="dxa"/>
              <w:bottom w:w="45" w:type="dxa"/>
              <w:right w:w="85" w:type="dxa"/>
            </w:tcMar>
          </w:tcPr>
          <w:p w14:paraId="491B82DC" w14:textId="77777777" w:rsidR="003C54A7" w:rsidRDefault="002413B1">
            <w:r>
              <w:t>Monitoring domain</w:t>
            </w:r>
          </w:p>
        </w:tc>
        <w:tc>
          <w:tcPr>
            <w:tcW w:w="3628" w:type="dxa"/>
            <w:shd w:val="clear" w:color="auto" w:fill="F3F5F7"/>
            <w:tcMar>
              <w:top w:w="45" w:type="dxa"/>
              <w:left w:w="85" w:type="dxa"/>
              <w:bottom w:w="45" w:type="dxa"/>
              <w:right w:w="85" w:type="dxa"/>
            </w:tcMar>
          </w:tcPr>
          <w:p w14:paraId="3F780FCF" w14:textId="77777777" w:rsidR="003C54A7" w:rsidRDefault="002413B1">
            <w:r>
              <w:t>Costs, budgets, alerts, forecasts, recommendations</w:t>
            </w:r>
          </w:p>
        </w:tc>
        <w:tc>
          <w:tcPr>
            <w:tcW w:w="3855" w:type="dxa"/>
            <w:shd w:val="clear" w:color="auto" w:fill="F3F5F7"/>
            <w:tcMar>
              <w:top w:w="45" w:type="dxa"/>
              <w:left w:w="85" w:type="dxa"/>
              <w:bottom w:w="45" w:type="dxa"/>
              <w:right w:w="85" w:type="dxa"/>
            </w:tcMar>
          </w:tcPr>
          <w:p w14:paraId="7C034286" w14:textId="77777777" w:rsidR="003C54A7" w:rsidRDefault="002413B1">
            <w:r>
              <w:t>Cloud SDKs and model providers</w:t>
            </w:r>
          </w:p>
        </w:tc>
      </w:tr>
      <w:tr w:rsidR="003C54A7" w14:paraId="621676D5" w14:textId="77777777">
        <w:trPr>
          <w:cantSplit/>
          <w:jc w:val="center"/>
        </w:trPr>
        <w:tc>
          <w:tcPr>
            <w:tcW w:w="2154" w:type="dxa"/>
            <w:tcMar>
              <w:top w:w="45" w:type="dxa"/>
              <w:left w:w="85" w:type="dxa"/>
              <w:bottom w:w="45" w:type="dxa"/>
              <w:right w:w="85" w:type="dxa"/>
            </w:tcMar>
          </w:tcPr>
          <w:p w14:paraId="6487B96E" w14:textId="77777777" w:rsidR="003C54A7" w:rsidRDefault="002413B1">
            <w:r>
              <w:t>Agent runtime</w:t>
            </w:r>
          </w:p>
        </w:tc>
        <w:tc>
          <w:tcPr>
            <w:tcW w:w="3628" w:type="dxa"/>
            <w:tcMar>
              <w:top w:w="45" w:type="dxa"/>
              <w:left w:w="85" w:type="dxa"/>
              <w:bottom w:w="45" w:type="dxa"/>
              <w:right w:w="85" w:type="dxa"/>
            </w:tcMar>
          </w:tcPr>
          <w:p w14:paraId="45E1ABB2" w14:textId="77777777" w:rsidR="003C54A7" w:rsidRDefault="002413B1">
            <w:r>
              <w:t>Planning, evidence requests, governance, communication</w:t>
            </w:r>
          </w:p>
        </w:tc>
        <w:tc>
          <w:tcPr>
            <w:tcW w:w="3855" w:type="dxa"/>
            <w:tcMar>
              <w:top w:w="45" w:type="dxa"/>
              <w:left w:w="85" w:type="dxa"/>
              <w:bottom w:w="45" w:type="dxa"/>
              <w:right w:w="85" w:type="dxa"/>
            </w:tcMar>
          </w:tcPr>
          <w:p w14:paraId="7D84935E" w14:textId="77777777" w:rsidR="003C54A7" w:rsidRDefault="002413B1">
            <w:r>
              <w:t>SQL schemas and Azure credentials</w:t>
            </w:r>
          </w:p>
        </w:tc>
      </w:tr>
      <w:tr w:rsidR="003C54A7" w14:paraId="48B6AA12" w14:textId="77777777">
        <w:trPr>
          <w:cantSplit/>
          <w:jc w:val="center"/>
        </w:trPr>
        <w:tc>
          <w:tcPr>
            <w:tcW w:w="2154" w:type="dxa"/>
            <w:shd w:val="clear" w:color="auto" w:fill="F3F5F7"/>
            <w:tcMar>
              <w:top w:w="45" w:type="dxa"/>
              <w:left w:w="85" w:type="dxa"/>
              <w:bottom w:w="45" w:type="dxa"/>
              <w:right w:w="85" w:type="dxa"/>
            </w:tcMar>
          </w:tcPr>
          <w:p w14:paraId="12D9A29F" w14:textId="77777777" w:rsidR="003C54A7" w:rsidRDefault="002413B1">
            <w:r>
              <w:t>Persistence</w:t>
            </w:r>
          </w:p>
        </w:tc>
        <w:tc>
          <w:tcPr>
            <w:tcW w:w="3628" w:type="dxa"/>
            <w:shd w:val="clear" w:color="auto" w:fill="F3F5F7"/>
            <w:tcMar>
              <w:top w:w="45" w:type="dxa"/>
              <w:left w:w="85" w:type="dxa"/>
              <w:bottom w:w="45" w:type="dxa"/>
              <w:right w:w="85" w:type="dxa"/>
            </w:tcMar>
          </w:tcPr>
          <w:p w14:paraId="42406E0D" w14:textId="77777777" w:rsidR="003C54A7" w:rsidRDefault="002413B1">
            <w:r>
              <w:t>Repository contracts, migrations, checkpoints, audit</w:t>
            </w:r>
          </w:p>
        </w:tc>
        <w:tc>
          <w:tcPr>
            <w:tcW w:w="3855" w:type="dxa"/>
            <w:shd w:val="clear" w:color="auto" w:fill="F3F5F7"/>
            <w:tcMar>
              <w:top w:w="45" w:type="dxa"/>
              <w:left w:w="85" w:type="dxa"/>
              <w:bottom w:w="45" w:type="dxa"/>
              <w:right w:w="85" w:type="dxa"/>
            </w:tcMar>
          </w:tcPr>
          <w:p w14:paraId="3CCABCB8" w14:textId="77777777" w:rsidR="003C54A7" w:rsidRDefault="002413B1">
            <w:r>
              <w:t>API presentation and prompts</w:t>
            </w:r>
          </w:p>
        </w:tc>
      </w:tr>
      <w:tr w:rsidR="003C54A7" w14:paraId="4AAB719D" w14:textId="77777777">
        <w:trPr>
          <w:cantSplit/>
          <w:jc w:val="center"/>
        </w:trPr>
        <w:tc>
          <w:tcPr>
            <w:tcW w:w="2154" w:type="dxa"/>
            <w:tcMar>
              <w:top w:w="45" w:type="dxa"/>
              <w:left w:w="85" w:type="dxa"/>
              <w:bottom w:w="45" w:type="dxa"/>
              <w:right w:w="85" w:type="dxa"/>
            </w:tcMar>
          </w:tcPr>
          <w:p w14:paraId="22A75C77" w14:textId="77777777" w:rsidR="003C54A7" w:rsidRDefault="002413B1">
            <w:r>
              <w:t>API and CLI</w:t>
            </w:r>
          </w:p>
        </w:tc>
        <w:tc>
          <w:tcPr>
            <w:tcW w:w="3628" w:type="dxa"/>
            <w:tcMar>
              <w:top w:w="45" w:type="dxa"/>
              <w:left w:w="85" w:type="dxa"/>
              <w:bottom w:w="45" w:type="dxa"/>
              <w:right w:w="85" w:type="dxa"/>
            </w:tcMar>
          </w:tcPr>
          <w:p w14:paraId="0993189A" w14:textId="77777777" w:rsidR="003C54A7" w:rsidRDefault="002413B1">
            <w:r>
              <w:t>Transport, authentication context, response contracts</w:t>
            </w:r>
          </w:p>
        </w:tc>
        <w:tc>
          <w:tcPr>
            <w:tcW w:w="3855" w:type="dxa"/>
            <w:tcMar>
              <w:top w:w="45" w:type="dxa"/>
              <w:left w:w="85" w:type="dxa"/>
              <w:bottom w:w="45" w:type="dxa"/>
              <w:right w:w="85" w:type="dxa"/>
            </w:tcMar>
          </w:tcPr>
          <w:p w14:paraId="6B23777A" w14:textId="77777777" w:rsidR="003C54A7" w:rsidRDefault="002413B1">
            <w:r>
              <w:t>Collection and graph internals</w:t>
            </w:r>
          </w:p>
        </w:tc>
      </w:tr>
      <w:tr w:rsidR="003C54A7" w14:paraId="2BDC87E8" w14:textId="77777777">
        <w:trPr>
          <w:cantSplit/>
          <w:jc w:val="center"/>
        </w:trPr>
        <w:tc>
          <w:tcPr>
            <w:tcW w:w="2154" w:type="dxa"/>
            <w:shd w:val="clear" w:color="auto" w:fill="F3F5F7"/>
            <w:tcMar>
              <w:top w:w="45" w:type="dxa"/>
              <w:left w:w="85" w:type="dxa"/>
              <w:bottom w:w="45" w:type="dxa"/>
              <w:right w:w="85" w:type="dxa"/>
            </w:tcMar>
          </w:tcPr>
          <w:p w14:paraId="2E327C43" w14:textId="77777777" w:rsidR="003C54A7" w:rsidRDefault="002413B1">
            <w:r>
              <w:t>Observability</w:t>
            </w:r>
          </w:p>
        </w:tc>
        <w:tc>
          <w:tcPr>
            <w:tcW w:w="3628" w:type="dxa"/>
            <w:shd w:val="clear" w:color="auto" w:fill="F3F5F7"/>
            <w:tcMar>
              <w:top w:w="45" w:type="dxa"/>
              <w:left w:w="85" w:type="dxa"/>
              <w:bottom w:w="45" w:type="dxa"/>
              <w:right w:w="85" w:type="dxa"/>
            </w:tcMar>
          </w:tcPr>
          <w:p w14:paraId="61D5E337" w14:textId="77777777" w:rsidR="003C54A7" w:rsidRDefault="002413B1">
            <w:r>
              <w:t>Metrics, health, dashboards</w:t>
            </w:r>
          </w:p>
        </w:tc>
        <w:tc>
          <w:tcPr>
            <w:tcW w:w="3855" w:type="dxa"/>
            <w:shd w:val="clear" w:color="auto" w:fill="F3F5F7"/>
            <w:tcMar>
              <w:top w:w="45" w:type="dxa"/>
              <w:left w:w="85" w:type="dxa"/>
              <w:bottom w:w="45" w:type="dxa"/>
              <w:right w:w="85" w:type="dxa"/>
            </w:tcMar>
          </w:tcPr>
          <w:p w14:paraId="657A9CC1" w14:textId="77777777" w:rsidR="003C54A7" w:rsidRDefault="002413B1">
            <w:r>
              <w:t>Business workflows</w:t>
            </w:r>
          </w:p>
        </w:tc>
      </w:tr>
    </w:tbl>
    <w:p w14:paraId="4656A96C" w14:textId="77777777" w:rsidR="003C54A7" w:rsidRDefault="002413B1">
      <w:r>
        <w:t xml:space="preserve">The important pattern is dependency direction. Business and agent code depend on </w:t>
      </w:r>
      <w:proofErr w:type="gramStart"/>
      <w:r>
        <w:t>interfaces—</w:t>
      </w:r>
      <w:proofErr w:type="gramEnd"/>
      <w:r>
        <w:t xml:space="preserve">cost repositories, inventory tools, model factories—not on concrete SDK calls. Provider-specific details sit at the edge. This makes it </w:t>
      </w:r>
      <w:r>
        <w:lastRenderedPageBreak/>
        <w:t>possible to replace Azure OpenAI with an OpenAI-compatible endpoint, PostgreSQL with another repository implementation, or Grafana with another presentation layer without changing the reasoning model.</w:t>
      </w:r>
    </w:p>
    <w:tbl>
      <w:tblPr>
        <w:tblW w:w="0" w:type="auto"/>
        <w:jc w:val="center"/>
        <w:tblLayout w:type="fixed"/>
        <w:tblLook w:val="04A0" w:firstRow="1" w:lastRow="0" w:firstColumn="1" w:lastColumn="0" w:noHBand="0" w:noVBand="1"/>
      </w:tblPr>
      <w:tblGrid>
        <w:gridCol w:w="280"/>
        <w:gridCol w:w="9756"/>
      </w:tblGrid>
      <w:tr w:rsidR="003C54A7" w14:paraId="4FBD0204" w14:textId="77777777" w:rsidTr="00C67922">
        <w:trPr>
          <w:jc w:val="center"/>
        </w:trPr>
        <w:tc>
          <w:tcPr>
            <w:tcW w:w="280" w:type="dxa"/>
            <w:shd w:val="clear" w:color="auto" w:fill="D97706"/>
            <w:tcMar>
              <w:top w:w="100" w:type="dxa"/>
              <w:left w:w="130" w:type="dxa"/>
              <w:bottom w:w="100" w:type="dxa"/>
              <w:right w:w="130" w:type="dxa"/>
            </w:tcMar>
          </w:tcPr>
          <w:p w14:paraId="05AE5B6C" w14:textId="77777777" w:rsidR="003C54A7" w:rsidRDefault="003C54A7"/>
        </w:tc>
        <w:tc>
          <w:tcPr>
            <w:tcW w:w="9756" w:type="dxa"/>
            <w:shd w:val="clear" w:color="auto" w:fill="E8F6F5"/>
            <w:tcMar>
              <w:top w:w="100" w:type="dxa"/>
              <w:left w:w="130" w:type="dxa"/>
              <w:bottom w:w="100" w:type="dxa"/>
              <w:right w:w="130" w:type="dxa"/>
            </w:tcMar>
            <w:vAlign w:val="center"/>
          </w:tcPr>
          <w:p w14:paraId="0CF5E0C8" w14:textId="77777777" w:rsidR="003C54A7" w:rsidRDefault="002413B1">
            <w:pPr>
              <w:pStyle w:val="Callout"/>
            </w:pPr>
            <w:r>
              <w:t xml:space="preserve">Design </w:t>
            </w:r>
            <w:proofErr w:type="gramStart"/>
            <w:r>
              <w:t xml:space="preserve">heuristic  </w:t>
            </w:r>
            <w:r>
              <w:rPr>
                <w:b w:val="0"/>
              </w:rPr>
              <w:t>If</w:t>
            </w:r>
            <w:proofErr w:type="gramEnd"/>
            <w:r>
              <w:rPr>
                <w:b w:val="0"/>
              </w:rPr>
              <w:t xml:space="preserve"> a model prompt contains SQL, a dashboard contains business rules, or a scheduler </w:t>
            </w:r>
            <w:proofErr w:type="gramStart"/>
            <w:r>
              <w:rPr>
                <w:b w:val="0"/>
              </w:rPr>
              <w:t>contains provider</w:t>
            </w:r>
            <w:proofErr w:type="gramEnd"/>
            <w:r>
              <w:rPr>
                <w:b w:val="0"/>
              </w:rPr>
              <w:t xml:space="preserve"> credentials, a boundary is probably missing.</w:t>
            </w:r>
          </w:p>
        </w:tc>
      </w:tr>
    </w:tbl>
    <w:p w14:paraId="2103377C" w14:textId="77777777" w:rsidR="003C54A7" w:rsidRDefault="003C54A7">
      <w:pPr>
        <w:spacing w:after="0"/>
      </w:pPr>
    </w:p>
    <w:p w14:paraId="13745655" w14:textId="77777777" w:rsidR="003C54A7" w:rsidRDefault="002413B1">
      <w:r>
        <w:br w:type="page"/>
      </w:r>
    </w:p>
    <w:p w14:paraId="7120BCE3" w14:textId="77777777" w:rsidR="003C54A7" w:rsidRDefault="002413B1">
      <w:pPr>
        <w:pStyle w:val="Heading1"/>
      </w:pPr>
      <w:r>
        <w:lastRenderedPageBreak/>
        <w:t xml:space="preserve">Why PostgreSQL plus </w:t>
      </w:r>
      <w:proofErr w:type="spellStart"/>
      <w:r>
        <w:t>TimescaleDB</w:t>
      </w:r>
      <w:proofErr w:type="spellEnd"/>
      <w:r>
        <w:t>?</w:t>
      </w:r>
    </w:p>
    <w:p w14:paraId="0FFB51A5" w14:textId="77777777" w:rsidR="003C54A7" w:rsidRDefault="002413B1">
      <w:pPr>
        <w:spacing w:after="160"/>
      </w:pPr>
      <w:r>
        <w:rPr>
          <w:i/>
          <w:color w:val="52606D"/>
          <w:sz w:val="21"/>
        </w:rPr>
        <w:t>Cost data is relational in meaning and time-series in access pattern.</w:t>
      </w:r>
    </w:p>
    <w:p w14:paraId="3777E01D" w14:textId="77777777" w:rsidR="003C54A7" w:rsidRDefault="002413B1">
      <w:r>
        <w:t xml:space="preserve">Azure cost records have dimensions—subscription, service, resource, region, tags, currency—and a time axis. Most queries combine both: monthly </w:t>
      </w:r>
      <w:proofErr w:type="gramStart"/>
      <w:r>
        <w:t>spend</w:t>
      </w:r>
      <w:proofErr w:type="gramEnd"/>
      <w:r>
        <w:t xml:space="preserve"> by service, daily trend for a subscription, latest forecast versus budget, or cost before and after a recommendation. A general document store makes these relationships and aggregations harder; a metrics-only store is weak for transactions, </w:t>
      </w:r>
      <w:proofErr w:type="gramStart"/>
      <w:r>
        <w:t>joins</w:t>
      </w:r>
      <w:proofErr w:type="gramEnd"/>
      <w:r>
        <w:t>, approvals, and audit records.</w:t>
      </w:r>
    </w:p>
    <w:tbl>
      <w:tblPr>
        <w:tblStyle w:val="TableGrid"/>
        <w:tblW w:w="0" w:type="auto"/>
        <w:jc w:val="center"/>
        <w:tblLayout w:type="fixed"/>
        <w:tblLook w:val="04A0" w:firstRow="1" w:lastRow="0" w:firstColumn="1" w:lastColumn="0" w:noHBand="0" w:noVBand="1"/>
      </w:tblPr>
      <w:tblGrid>
        <w:gridCol w:w="2041"/>
        <w:gridCol w:w="2835"/>
        <w:gridCol w:w="4762"/>
      </w:tblGrid>
      <w:tr w:rsidR="003C54A7" w14:paraId="24AE9D19" w14:textId="77777777">
        <w:trPr>
          <w:tblHeader/>
          <w:jc w:val="center"/>
        </w:trPr>
        <w:tc>
          <w:tcPr>
            <w:tcW w:w="2041" w:type="dxa"/>
            <w:shd w:val="clear" w:color="auto" w:fill="17365D"/>
            <w:tcMar>
              <w:top w:w="45" w:type="dxa"/>
              <w:left w:w="85" w:type="dxa"/>
              <w:bottom w:w="45" w:type="dxa"/>
              <w:right w:w="85" w:type="dxa"/>
            </w:tcMar>
          </w:tcPr>
          <w:p w14:paraId="0CDD82B8" w14:textId="77777777" w:rsidR="003C54A7" w:rsidRDefault="002413B1">
            <w:r>
              <w:rPr>
                <w:b/>
                <w:color w:val="FFFFFF"/>
              </w:rPr>
              <w:t>Option</w:t>
            </w:r>
          </w:p>
        </w:tc>
        <w:tc>
          <w:tcPr>
            <w:tcW w:w="2835" w:type="dxa"/>
            <w:shd w:val="clear" w:color="auto" w:fill="17365D"/>
            <w:tcMar>
              <w:top w:w="45" w:type="dxa"/>
              <w:left w:w="85" w:type="dxa"/>
              <w:bottom w:w="45" w:type="dxa"/>
              <w:right w:w="85" w:type="dxa"/>
            </w:tcMar>
          </w:tcPr>
          <w:p w14:paraId="28EC7994" w14:textId="77777777" w:rsidR="003C54A7" w:rsidRDefault="002413B1">
            <w:r>
              <w:rPr>
                <w:b/>
                <w:color w:val="FFFFFF"/>
              </w:rPr>
              <w:t>Strength</w:t>
            </w:r>
          </w:p>
        </w:tc>
        <w:tc>
          <w:tcPr>
            <w:tcW w:w="4762" w:type="dxa"/>
            <w:shd w:val="clear" w:color="auto" w:fill="17365D"/>
            <w:tcMar>
              <w:top w:w="45" w:type="dxa"/>
              <w:left w:w="85" w:type="dxa"/>
              <w:bottom w:w="45" w:type="dxa"/>
              <w:right w:w="85" w:type="dxa"/>
            </w:tcMar>
          </w:tcPr>
          <w:p w14:paraId="1300E71A" w14:textId="77777777" w:rsidR="003C54A7" w:rsidRDefault="002413B1">
            <w:r>
              <w:rPr>
                <w:b/>
                <w:color w:val="FFFFFF"/>
              </w:rPr>
              <w:t>Why it was or was not chosen</w:t>
            </w:r>
          </w:p>
        </w:tc>
      </w:tr>
      <w:tr w:rsidR="003C54A7" w14:paraId="107CA25B" w14:textId="77777777">
        <w:trPr>
          <w:cantSplit/>
          <w:jc w:val="center"/>
        </w:trPr>
        <w:tc>
          <w:tcPr>
            <w:tcW w:w="2041" w:type="dxa"/>
            <w:tcMar>
              <w:top w:w="45" w:type="dxa"/>
              <w:left w:w="85" w:type="dxa"/>
              <w:bottom w:w="45" w:type="dxa"/>
              <w:right w:w="85" w:type="dxa"/>
            </w:tcMar>
          </w:tcPr>
          <w:p w14:paraId="59CD9AF4" w14:textId="77777777" w:rsidR="003C54A7" w:rsidRDefault="002413B1">
            <w:r>
              <w:t>PostgreSQL</w:t>
            </w:r>
          </w:p>
        </w:tc>
        <w:tc>
          <w:tcPr>
            <w:tcW w:w="2835" w:type="dxa"/>
            <w:tcMar>
              <w:top w:w="45" w:type="dxa"/>
              <w:left w:w="85" w:type="dxa"/>
              <w:bottom w:w="45" w:type="dxa"/>
              <w:right w:w="85" w:type="dxa"/>
            </w:tcMar>
          </w:tcPr>
          <w:p w14:paraId="3FBE586F" w14:textId="77777777" w:rsidR="003C54A7" w:rsidRDefault="002413B1">
            <w:r>
              <w:t xml:space="preserve">Transactions, </w:t>
            </w:r>
            <w:proofErr w:type="gramStart"/>
            <w:r>
              <w:t>joins</w:t>
            </w:r>
            <w:proofErr w:type="gramEnd"/>
            <w:r>
              <w:t>, constraints, mature tooling</w:t>
            </w:r>
          </w:p>
        </w:tc>
        <w:tc>
          <w:tcPr>
            <w:tcW w:w="4762" w:type="dxa"/>
            <w:tcMar>
              <w:top w:w="45" w:type="dxa"/>
              <w:left w:w="85" w:type="dxa"/>
              <w:bottom w:w="45" w:type="dxa"/>
              <w:right w:w="85" w:type="dxa"/>
            </w:tcMar>
          </w:tcPr>
          <w:p w14:paraId="04537358" w14:textId="77777777" w:rsidR="003C54A7" w:rsidRDefault="002413B1">
            <w:r>
              <w:t>Chosen as the canonical system of record.</w:t>
            </w:r>
          </w:p>
        </w:tc>
      </w:tr>
      <w:tr w:rsidR="003C54A7" w14:paraId="2A1477EB" w14:textId="77777777">
        <w:trPr>
          <w:cantSplit/>
          <w:jc w:val="center"/>
        </w:trPr>
        <w:tc>
          <w:tcPr>
            <w:tcW w:w="2041" w:type="dxa"/>
            <w:shd w:val="clear" w:color="auto" w:fill="F3F5F7"/>
            <w:tcMar>
              <w:top w:w="45" w:type="dxa"/>
              <w:left w:w="85" w:type="dxa"/>
              <w:bottom w:w="45" w:type="dxa"/>
              <w:right w:w="85" w:type="dxa"/>
            </w:tcMar>
          </w:tcPr>
          <w:p w14:paraId="186D370E" w14:textId="77777777" w:rsidR="003C54A7" w:rsidRDefault="002413B1">
            <w:proofErr w:type="spellStart"/>
            <w:r>
              <w:t>TimescaleDB</w:t>
            </w:r>
            <w:proofErr w:type="spellEnd"/>
            <w:r>
              <w:t xml:space="preserve"> extension</w:t>
            </w:r>
          </w:p>
        </w:tc>
        <w:tc>
          <w:tcPr>
            <w:tcW w:w="2835" w:type="dxa"/>
            <w:shd w:val="clear" w:color="auto" w:fill="F3F5F7"/>
            <w:tcMar>
              <w:top w:w="45" w:type="dxa"/>
              <w:left w:w="85" w:type="dxa"/>
              <w:bottom w:w="45" w:type="dxa"/>
              <w:right w:w="85" w:type="dxa"/>
            </w:tcMar>
          </w:tcPr>
          <w:p w14:paraId="30E5DE31" w14:textId="77777777" w:rsidR="003C54A7" w:rsidRDefault="002413B1">
            <w:r>
              <w:t>Time partitioning and time-oriented aggregation</w:t>
            </w:r>
          </w:p>
        </w:tc>
        <w:tc>
          <w:tcPr>
            <w:tcW w:w="4762" w:type="dxa"/>
            <w:shd w:val="clear" w:color="auto" w:fill="F3F5F7"/>
            <w:tcMar>
              <w:top w:w="45" w:type="dxa"/>
              <w:left w:w="85" w:type="dxa"/>
              <w:bottom w:w="45" w:type="dxa"/>
              <w:right w:w="85" w:type="dxa"/>
            </w:tcMar>
          </w:tcPr>
          <w:p w14:paraId="7D89C9ED" w14:textId="77777777" w:rsidR="003C54A7" w:rsidRDefault="002413B1">
            <w:r>
              <w:t>Chosen to optimize cost history without introducing another database.</w:t>
            </w:r>
          </w:p>
        </w:tc>
      </w:tr>
      <w:tr w:rsidR="003C54A7" w14:paraId="480543E6" w14:textId="77777777">
        <w:trPr>
          <w:cantSplit/>
          <w:jc w:val="center"/>
        </w:trPr>
        <w:tc>
          <w:tcPr>
            <w:tcW w:w="2041" w:type="dxa"/>
            <w:tcMar>
              <w:top w:w="45" w:type="dxa"/>
              <w:left w:w="85" w:type="dxa"/>
              <w:bottom w:w="45" w:type="dxa"/>
              <w:right w:w="85" w:type="dxa"/>
            </w:tcMar>
          </w:tcPr>
          <w:p w14:paraId="6E493EB8" w14:textId="77777777" w:rsidR="003C54A7" w:rsidRDefault="002413B1">
            <w:r>
              <w:t>Dedicated metrics store</w:t>
            </w:r>
          </w:p>
        </w:tc>
        <w:tc>
          <w:tcPr>
            <w:tcW w:w="2835" w:type="dxa"/>
            <w:tcMar>
              <w:top w:w="45" w:type="dxa"/>
              <w:left w:w="85" w:type="dxa"/>
              <w:bottom w:w="45" w:type="dxa"/>
              <w:right w:w="85" w:type="dxa"/>
            </w:tcMar>
          </w:tcPr>
          <w:p w14:paraId="0AF81C92" w14:textId="77777777" w:rsidR="003C54A7" w:rsidRDefault="002413B1">
            <w:r>
              <w:t>High-volume telemetry</w:t>
            </w:r>
          </w:p>
        </w:tc>
        <w:tc>
          <w:tcPr>
            <w:tcW w:w="4762" w:type="dxa"/>
            <w:tcMar>
              <w:top w:w="45" w:type="dxa"/>
              <w:left w:w="85" w:type="dxa"/>
              <w:bottom w:w="45" w:type="dxa"/>
              <w:right w:w="85" w:type="dxa"/>
            </w:tcMar>
          </w:tcPr>
          <w:p w14:paraId="6B6CCD1A" w14:textId="77777777" w:rsidR="003C54A7" w:rsidRDefault="002413B1">
            <w:r>
              <w:t>Used for Prometheus metrics, not financial records or audit state.</w:t>
            </w:r>
          </w:p>
        </w:tc>
      </w:tr>
      <w:tr w:rsidR="003C54A7" w14:paraId="15D7A7F9" w14:textId="77777777">
        <w:trPr>
          <w:cantSplit/>
          <w:jc w:val="center"/>
        </w:trPr>
        <w:tc>
          <w:tcPr>
            <w:tcW w:w="2041" w:type="dxa"/>
            <w:shd w:val="clear" w:color="auto" w:fill="F3F5F7"/>
            <w:tcMar>
              <w:top w:w="45" w:type="dxa"/>
              <w:left w:w="85" w:type="dxa"/>
              <w:bottom w:w="45" w:type="dxa"/>
              <w:right w:w="85" w:type="dxa"/>
            </w:tcMar>
          </w:tcPr>
          <w:p w14:paraId="0D0AA64D" w14:textId="77777777" w:rsidR="003C54A7" w:rsidRDefault="002413B1">
            <w:r>
              <w:t>Document database</w:t>
            </w:r>
          </w:p>
        </w:tc>
        <w:tc>
          <w:tcPr>
            <w:tcW w:w="2835" w:type="dxa"/>
            <w:shd w:val="clear" w:color="auto" w:fill="F3F5F7"/>
            <w:tcMar>
              <w:top w:w="45" w:type="dxa"/>
              <w:left w:w="85" w:type="dxa"/>
              <w:bottom w:w="45" w:type="dxa"/>
              <w:right w:w="85" w:type="dxa"/>
            </w:tcMar>
          </w:tcPr>
          <w:p w14:paraId="6C9A7FFB" w14:textId="77777777" w:rsidR="003C54A7" w:rsidRDefault="002413B1">
            <w:r>
              <w:t>Flexible documents</w:t>
            </w:r>
          </w:p>
        </w:tc>
        <w:tc>
          <w:tcPr>
            <w:tcW w:w="4762" w:type="dxa"/>
            <w:shd w:val="clear" w:color="auto" w:fill="F3F5F7"/>
            <w:tcMar>
              <w:top w:w="45" w:type="dxa"/>
              <w:left w:w="85" w:type="dxa"/>
              <w:bottom w:w="45" w:type="dxa"/>
              <w:right w:w="85" w:type="dxa"/>
            </w:tcMar>
          </w:tcPr>
          <w:p w14:paraId="7E2CC03C" w14:textId="77777777" w:rsidR="003C54A7" w:rsidRDefault="002413B1">
            <w:r>
              <w:t>Not selected because financial dimensions, joins, and governance records benefit from explicit schemas.</w:t>
            </w:r>
          </w:p>
        </w:tc>
      </w:tr>
      <w:tr w:rsidR="003C54A7" w14:paraId="697D666A" w14:textId="77777777">
        <w:trPr>
          <w:cantSplit/>
          <w:jc w:val="center"/>
        </w:trPr>
        <w:tc>
          <w:tcPr>
            <w:tcW w:w="2041" w:type="dxa"/>
            <w:tcMar>
              <w:top w:w="45" w:type="dxa"/>
              <w:left w:w="85" w:type="dxa"/>
              <w:bottom w:w="45" w:type="dxa"/>
              <w:right w:w="85" w:type="dxa"/>
            </w:tcMar>
          </w:tcPr>
          <w:p w14:paraId="0D53BDC6" w14:textId="77777777" w:rsidR="003C54A7" w:rsidRDefault="002413B1">
            <w:r>
              <w:t>Data warehouse</w:t>
            </w:r>
          </w:p>
        </w:tc>
        <w:tc>
          <w:tcPr>
            <w:tcW w:w="2835" w:type="dxa"/>
            <w:tcMar>
              <w:top w:w="45" w:type="dxa"/>
              <w:left w:w="85" w:type="dxa"/>
              <w:bottom w:w="45" w:type="dxa"/>
              <w:right w:w="85" w:type="dxa"/>
            </w:tcMar>
          </w:tcPr>
          <w:p w14:paraId="60A3FEE3" w14:textId="77777777" w:rsidR="003C54A7" w:rsidRDefault="002413B1">
            <w:r>
              <w:t>Large analytical workloads</w:t>
            </w:r>
          </w:p>
        </w:tc>
        <w:tc>
          <w:tcPr>
            <w:tcW w:w="4762" w:type="dxa"/>
            <w:tcMar>
              <w:top w:w="45" w:type="dxa"/>
              <w:left w:w="85" w:type="dxa"/>
              <w:bottom w:w="45" w:type="dxa"/>
              <w:right w:w="85" w:type="dxa"/>
            </w:tcMar>
          </w:tcPr>
          <w:p w14:paraId="0E763FE1" w14:textId="77777777" w:rsidR="003C54A7" w:rsidRDefault="002413B1">
            <w:r>
              <w:t>A future option when multi-year, multi-tenant scale exceeds the operational database boundary.</w:t>
            </w:r>
          </w:p>
        </w:tc>
      </w:tr>
    </w:tbl>
    <w:p w14:paraId="0ACEDBE2" w14:textId="77777777" w:rsidR="003C54A7" w:rsidRDefault="002413B1">
      <w:r>
        <w:t xml:space="preserve">This is a deliberately reversible choice. </w:t>
      </w:r>
      <w:proofErr w:type="spellStart"/>
      <w:r>
        <w:t>SQLAlchemy</w:t>
      </w:r>
      <w:proofErr w:type="spellEnd"/>
      <w:r>
        <w:t xml:space="preserve"> repositories isolate the application from storage details, while Alembic gives schema evolution an explicit lifecycle. If scale later requires a warehouse or </w:t>
      </w:r>
      <w:proofErr w:type="spellStart"/>
      <w:r>
        <w:t>lakehouse</w:t>
      </w:r>
      <w:proofErr w:type="spellEnd"/>
      <w:r>
        <w:t>, ingestion can fan out without forcing the API and agent layers to understand the migration.</w:t>
      </w:r>
    </w:p>
    <w:p w14:paraId="3CD62BBE" w14:textId="77777777" w:rsidR="003C54A7" w:rsidRDefault="002413B1">
      <w:pPr>
        <w:pStyle w:val="Heading1"/>
      </w:pPr>
      <w:r>
        <w:t xml:space="preserve">Why </w:t>
      </w:r>
      <w:proofErr w:type="spellStart"/>
      <w:r>
        <w:t>LangGraph</w:t>
      </w:r>
      <w:proofErr w:type="spellEnd"/>
      <w:r>
        <w:t xml:space="preserve"> instead of a chain of prompts?</w:t>
      </w:r>
    </w:p>
    <w:p w14:paraId="7F58EC2A" w14:textId="77777777" w:rsidR="003C54A7" w:rsidRDefault="002413B1">
      <w:pPr>
        <w:spacing w:after="160"/>
      </w:pPr>
      <w:r>
        <w:rPr>
          <w:i/>
          <w:color w:val="52606D"/>
          <w:sz w:val="21"/>
        </w:rPr>
        <w:t>Coordination needs state, branching, fan-out, retries, budgets, and durable checkpoints.</w:t>
      </w:r>
    </w:p>
    <w:p w14:paraId="116906CA" w14:textId="77777777" w:rsidR="003C54A7" w:rsidRDefault="002413B1">
      <w:pPr>
        <w:spacing w:after="60"/>
        <w:jc w:val="center"/>
      </w:pPr>
      <w:r>
        <w:rPr>
          <w:noProof/>
        </w:rPr>
        <w:drawing>
          <wp:inline distT="0" distB="0" distL="0" distR="0" wp14:anchorId="7B29D8F5" wp14:editId="0F75362E">
            <wp:extent cx="5832000" cy="34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ulti_agent_flow.png"/>
                    <pic:cNvPicPr/>
                  </pic:nvPicPr>
                  <pic:blipFill>
                    <a:blip r:embed="rId10"/>
                    <a:stretch>
                      <a:fillRect/>
                    </a:stretch>
                  </pic:blipFill>
                  <pic:spPr>
                    <a:xfrm>
                      <a:off x="0" y="0"/>
                      <a:ext cx="5832000" cy="3402000"/>
                    </a:xfrm>
                    <a:prstGeom prst="rect">
                      <a:avLst/>
                    </a:prstGeom>
                  </pic:spPr>
                </pic:pic>
              </a:graphicData>
            </a:graphic>
          </wp:inline>
        </w:drawing>
      </w:r>
    </w:p>
    <w:p w14:paraId="05362CDB" w14:textId="77777777" w:rsidR="003C54A7" w:rsidRDefault="002413B1">
      <w:pPr>
        <w:pStyle w:val="PortfolioCaption"/>
        <w:keepNext/>
        <w:jc w:val="center"/>
      </w:pPr>
      <w:r>
        <w:lastRenderedPageBreak/>
        <w:t>The graph selects specialists, validates evidence, governs proposals, and permits only bounded refinement.</w:t>
      </w:r>
    </w:p>
    <w:p w14:paraId="0A638D40" w14:textId="77777777" w:rsidR="003C54A7" w:rsidRDefault="002413B1">
      <w:r>
        <w:t>A prompt chain works when every request follows the same path. FinOps investigations do not. A budget question may need only cost evidence. A rightsizing question needs inventory and architecture context. A high-risk proposal may require refinement; a simple explanation may not. A graph makes those routes explicit and testable.</w:t>
      </w:r>
    </w:p>
    <w:p w14:paraId="282E92DD" w14:textId="77777777" w:rsidR="003C54A7" w:rsidRDefault="002413B1">
      <w:proofErr w:type="spellStart"/>
      <w:r>
        <w:t>LangGraph</w:t>
      </w:r>
      <w:proofErr w:type="spellEnd"/>
      <w:r>
        <w:t xml:space="preserve"> was selected because it models conditional execution and durable state directly. Parallel specialists reduce latency, reducers define how evidence merges, checkpoints support continuity, and node boundaries create natural observability points. The trade-off is additional state design and dependency management; that complexity is justified only because the workflow genuinely branches and persists.</w:t>
      </w:r>
    </w:p>
    <w:p w14:paraId="1DC4EE1F" w14:textId="77777777" w:rsidR="003C54A7" w:rsidRDefault="002413B1">
      <w:r>
        <w:br w:type="page"/>
      </w:r>
    </w:p>
    <w:p w14:paraId="26EFD9D4" w14:textId="77777777" w:rsidR="003C54A7" w:rsidRDefault="002413B1">
      <w:pPr>
        <w:pStyle w:val="Heading1"/>
      </w:pPr>
      <w:r>
        <w:lastRenderedPageBreak/>
        <w:t>Personas are selected by evidence need—not by job-title theatre</w:t>
      </w:r>
    </w:p>
    <w:p w14:paraId="5A846731" w14:textId="77777777" w:rsidR="003C54A7" w:rsidRDefault="002413B1">
      <w:pPr>
        <w:spacing w:after="160"/>
      </w:pPr>
      <w:r>
        <w:rPr>
          <w:i/>
          <w:color w:val="52606D"/>
          <w:sz w:val="21"/>
        </w:rPr>
        <w:t xml:space="preserve">More agents are not automatically better. Each </w:t>
      </w:r>
      <w:proofErr w:type="gramStart"/>
      <w:r>
        <w:rPr>
          <w:i/>
          <w:color w:val="52606D"/>
          <w:sz w:val="21"/>
        </w:rPr>
        <w:t>persona</w:t>
      </w:r>
      <w:proofErr w:type="gramEnd"/>
      <w:r>
        <w:rPr>
          <w:i/>
          <w:color w:val="52606D"/>
          <w:sz w:val="21"/>
        </w:rPr>
        <w:t xml:space="preserve"> must </w:t>
      </w:r>
      <w:proofErr w:type="gramStart"/>
      <w:r>
        <w:rPr>
          <w:i/>
          <w:color w:val="52606D"/>
          <w:sz w:val="21"/>
        </w:rPr>
        <w:t>own</w:t>
      </w:r>
      <w:proofErr w:type="gramEnd"/>
      <w:r>
        <w:rPr>
          <w:i/>
          <w:color w:val="52606D"/>
          <w:sz w:val="21"/>
        </w:rPr>
        <w:t xml:space="preserve"> a distinct decision boundary.</w:t>
      </w:r>
    </w:p>
    <w:tbl>
      <w:tblPr>
        <w:tblStyle w:val="TableGrid"/>
        <w:tblW w:w="0" w:type="auto"/>
        <w:jc w:val="center"/>
        <w:tblLayout w:type="fixed"/>
        <w:tblLook w:val="04A0" w:firstRow="1" w:lastRow="0" w:firstColumn="1" w:lastColumn="0" w:noHBand="0" w:noVBand="1"/>
      </w:tblPr>
      <w:tblGrid>
        <w:gridCol w:w="3402"/>
        <w:gridCol w:w="2494"/>
        <w:gridCol w:w="3742"/>
      </w:tblGrid>
      <w:tr w:rsidR="003C54A7" w14:paraId="61C5D421" w14:textId="77777777">
        <w:trPr>
          <w:tblHeader/>
          <w:jc w:val="center"/>
        </w:trPr>
        <w:tc>
          <w:tcPr>
            <w:tcW w:w="3402" w:type="dxa"/>
            <w:shd w:val="clear" w:color="auto" w:fill="17365D"/>
            <w:tcMar>
              <w:top w:w="45" w:type="dxa"/>
              <w:left w:w="85" w:type="dxa"/>
              <w:bottom w:w="45" w:type="dxa"/>
              <w:right w:w="85" w:type="dxa"/>
            </w:tcMar>
          </w:tcPr>
          <w:p w14:paraId="2477A017" w14:textId="77777777" w:rsidR="003C54A7" w:rsidRDefault="002413B1">
            <w:r>
              <w:rPr>
                <w:b/>
                <w:color w:val="FFFFFF"/>
              </w:rPr>
              <w:t>When the request needs…</w:t>
            </w:r>
          </w:p>
        </w:tc>
        <w:tc>
          <w:tcPr>
            <w:tcW w:w="2494" w:type="dxa"/>
            <w:shd w:val="clear" w:color="auto" w:fill="17365D"/>
            <w:tcMar>
              <w:top w:w="45" w:type="dxa"/>
              <w:left w:w="85" w:type="dxa"/>
              <w:bottom w:w="45" w:type="dxa"/>
              <w:right w:w="85" w:type="dxa"/>
            </w:tcMar>
          </w:tcPr>
          <w:p w14:paraId="1C454B4E" w14:textId="77777777" w:rsidR="003C54A7" w:rsidRDefault="002413B1">
            <w:r>
              <w:rPr>
                <w:b/>
                <w:color w:val="FFFFFF"/>
              </w:rPr>
              <w:t>Persona selected</w:t>
            </w:r>
          </w:p>
        </w:tc>
        <w:tc>
          <w:tcPr>
            <w:tcW w:w="3742" w:type="dxa"/>
            <w:shd w:val="clear" w:color="auto" w:fill="17365D"/>
            <w:tcMar>
              <w:top w:w="45" w:type="dxa"/>
              <w:left w:w="85" w:type="dxa"/>
              <w:bottom w:w="45" w:type="dxa"/>
              <w:right w:w="85" w:type="dxa"/>
            </w:tcMar>
          </w:tcPr>
          <w:p w14:paraId="2966A49D" w14:textId="77777777" w:rsidR="003C54A7" w:rsidRDefault="002413B1">
            <w:r>
              <w:rPr>
                <w:b/>
                <w:color w:val="FFFFFF"/>
              </w:rPr>
              <w:t>Why</w:t>
            </w:r>
          </w:p>
        </w:tc>
      </w:tr>
      <w:tr w:rsidR="003C54A7" w14:paraId="53E7B552" w14:textId="77777777">
        <w:trPr>
          <w:cantSplit/>
          <w:jc w:val="center"/>
        </w:trPr>
        <w:tc>
          <w:tcPr>
            <w:tcW w:w="3402" w:type="dxa"/>
            <w:tcMar>
              <w:top w:w="45" w:type="dxa"/>
              <w:left w:w="85" w:type="dxa"/>
              <w:bottom w:w="45" w:type="dxa"/>
              <w:right w:w="85" w:type="dxa"/>
            </w:tcMar>
          </w:tcPr>
          <w:p w14:paraId="7D67DF8F" w14:textId="77777777" w:rsidR="003C54A7" w:rsidRDefault="002413B1">
            <w:r>
              <w:t>Intent classification and a bounded plan</w:t>
            </w:r>
          </w:p>
        </w:tc>
        <w:tc>
          <w:tcPr>
            <w:tcW w:w="2494" w:type="dxa"/>
            <w:tcMar>
              <w:top w:w="45" w:type="dxa"/>
              <w:left w:w="85" w:type="dxa"/>
              <w:bottom w:w="45" w:type="dxa"/>
              <w:right w:w="85" w:type="dxa"/>
            </w:tcMar>
          </w:tcPr>
          <w:p w14:paraId="14F86E88" w14:textId="77777777" w:rsidR="003C54A7" w:rsidRDefault="002413B1">
            <w:r>
              <w:t>FinOps Orchestrator</w:t>
            </w:r>
          </w:p>
        </w:tc>
        <w:tc>
          <w:tcPr>
            <w:tcW w:w="3742" w:type="dxa"/>
            <w:tcMar>
              <w:top w:w="45" w:type="dxa"/>
              <w:left w:w="85" w:type="dxa"/>
              <w:bottom w:w="45" w:type="dxa"/>
              <w:right w:w="85" w:type="dxa"/>
            </w:tcMar>
          </w:tcPr>
          <w:p w14:paraId="19B51B5E" w14:textId="77777777" w:rsidR="003C54A7" w:rsidRDefault="002413B1">
            <w:r>
              <w:t>Keeps routing separate from specialist conclusions.</w:t>
            </w:r>
          </w:p>
        </w:tc>
      </w:tr>
      <w:tr w:rsidR="003C54A7" w14:paraId="1D727FA7" w14:textId="77777777">
        <w:trPr>
          <w:cantSplit/>
          <w:jc w:val="center"/>
        </w:trPr>
        <w:tc>
          <w:tcPr>
            <w:tcW w:w="3402" w:type="dxa"/>
            <w:shd w:val="clear" w:color="auto" w:fill="F3F5F7"/>
            <w:tcMar>
              <w:top w:w="45" w:type="dxa"/>
              <w:left w:w="85" w:type="dxa"/>
              <w:bottom w:w="45" w:type="dxa"/>
              <w:right w:w="85" w:type="dxa"/>
            </w:tcMar>
          </w:tcPr>
          <w:p w14:paraId="7B23F243" w14:textId="77777777" w:rsidR="003C54A7" w:rsidRDefault="002413B1">
            <w:r>
              <w:t>Spend trend, top services, or cost concentration</w:t>
            </w:r>
          </w:p>
        </w:tc>
        <w:tc>
          <w:tcPr>
            <w:tcW w:w="2494" w:type="dxa"/>
            <w:shd w:val="clear" w:color="auto" w:fill="F3F5F7"/>
            <w:tcMar>
              <w:top w:w="45" w:type="dxa"/>
              <w:left w:w="85" w:type="dxa"/>
              <w:bottom w:w="45" w:type="dxa"/>
              <w:right w:w="85" w:type="dxa"/>
            </w:tcMar>
          </w:tcPr>
          <w:p w14:paraId="2D11EEA0" w14:textId="77777777" w:rsidR="003C54A7" w:rsidRDefault="002413B1">
            <w:r>
              <w:t>Cost Analyst</w:t>
            </w:r>
          </w:p>
        </w:tc>
        <w:tc>
          <w:tcPr>
            <w:tcW w:w="3742" w:type="dxa"/>
            <w:shd w:val="clear" w:color="auto" w:fill="F3F5F7"/>
            <w:tcMar>
              <w:top w:w="45" w:type="dxa"/>
              <w:left w:w="85" w:type="dxa"/>
              <w:bottom w:w="45" w:type="dxa"/>
              <w:right w:w="85" w:type="dxa"/>
            </w:tcMar>
          </w:tcPr>
          <w:p w14:paraId="23FC3463" w14:textId="77777777" w:rsidR="003C54A7" w:rsidRDefault="002413B1">
            <w:r>
              <w:t>Has access only to canonical cost-summary evidence.</w:t>
            </w:r>
          </w:p>
        </w:tc>
      </w:tr>
      <w:tr w:rsidR="003C54A7" w14:paraId="7E148DB0" w14:textId="77777777">
        <w:trPr>
          <w:cantSplit/>
          <w:jc w:val="center"/>
        </w:trPr>
        <w:tc>
          <w:tcPr>
            <w:tcW w:w="3402" w:type="dxa"/>
            <w:tcMar>
              <w:top w:w="45" w:type="dxa"/>
              <w:left w:w="85" w:type="dxa"/>
              <w:bottom w:w="45" w:type="dxa"/>
              <w:right w:w="85" w:type="dxa"/>
            </w:tcMar>
          </w:tcPr>
          <w:p w14:paraId="4C97DA4C" w14:textId="77777777" w:rsidR="003C54A7" w:rsidRDefault="002413B1">
            <w:r>
              <w:t>Resource shape, region, inventory, or architecture context</w:t>
            </w:r>
          </w:p>
        </w:tc>
        <w:tc>
          <w:tcPr>
            <w:tcW w:w="2494" w:type="dxa"/>
            <w:tcMar>
              <w:top w:w="45" w:type="dxa"/>
              <w:left w:w="85" w:type="dxa"/>
              <w:bottom w:w="45" w:type="dxa"/>
              <w:right w:w="85" w:type="dxa"/>
            </w:tcMar>
          </w:tcPr>
          <w:p w14:paraId="789E6B06" w14:textId="77777777" w:rsidR="003C54A7" w:rsidRDefault="002413B1">
            <w:r>
              <w:t>Cloud Architect</w:t>
            </w:r>
          </w:p>
        </w:tc>
        <w:tc>
          <w:tcPr>
            <w:tcW w:w="3742" w:type="dxa"/>
            <w:tcMar>
              <w:top w:w="45" w:type="dxa"/>
              <w:left w:w="85" w:type="dxa"/>
              <w:bottom w:w="45" w:type="dxa"/>
              <w:right w:w="85" w:type="dxa"/>
            </w:tcMar>
          </w:tcPr>
          <w:p w14:paraId="707CC814" w14:textId="77777777" w:rsidR="003C54A7" w:rsidRDefault="002413B1">
            <w:r>
              <w:t>Adds technical context without calculating financial truth.</w:t>
            </w:r>
          </w:p>
        </w:tc>
      </w:tr>
      <w:tr w:rsidR="003C54A7" w14:paraId="530682B2" w14:textId="77777777">
        <w:trPr>
          <w:cantSplit/>
          <w:jc w:val="center"/>
        </w:trPr>
        <w:tc>
          <w:tcPr>
            <w:tcW w:w="3402" w:type="dxa"/>
            <w:shd w:val="clear" w:color="auto" w:fill="F3F5F7"/>
            <w:tcMar>
              <w:top w:w="45" w:type="dxa"/>
              <w:left w:w="85" w:type="dxa"/>
              <w:bottom w:w="45" w:type="dxa"/>
              <w:right w:w="85" w:type="dxa"/>
            </w:tcMar>
          </w:tcPr>
          <w:p w14:paraId="758CA4D3" w14:textId="77777777" w:rsidR="003C54A7" w:rsidRDefault="002413B1">
            <w:r>
              <w:t>A concrete action assembled from verified findings</w:t>
            </w:r>
          </w:p>
        </w:tc>
        <w:tc>
          <w:tcPr>
            <w:tcW w:w="2494" w:type="dxa"/>
            <w:shd w:val="clear" w:color="auto" w:fill="F3F5F7"/>
            <w:tcMar>
              <w:top w:w="45" w:type="dxa"/>
              <w:left w:w="85" w:type="dxa"/>
              <w:bottom w:w="45" w:type="dxa"/>
              <w:right w:w="85" w:type="dxa"/>
            </w:tcMar>
          </w:tcPr>
          <w:p w14:paraId="2F9C37A7" w14:textId="77777777" w:rsidR="003C54A7" w:rsidRDefault="002413B1">
            <w:r>
              <w:t>Optimization Specialist</w:t>
            </w:r>
          </w:p>
        </w:tc>
        <w:tc>
          <w:tcPr>
            <w:tcW w:w="3742" w:type="dxa"/>
            <w:shd w:val="clear" w:color="auto" w:fill="F3F5F7"/>
            <w:tcMar>
              <w:top w:w="45" w:type="dxa"/>
              <w:left w:w="85" w:type="dxa"/>
              <w:bottom w:w="45" w:type="dxa"/>
              <w:right w:w="85" w:type="dxa"/>
            </w:tcMar>
          </w:tcPr>
          <w:p w14:paraId="170FC508" w14:textId="77777777" w:rsidR="003C54A7" w:rsidRDefault="002413B1">
            <w:r>
              <w:t>Separates evidence collection from recommendation synthesis.</w:t>
            </w:r>
          </w:p>
        </w:tc>
      </w:tr>
      <w:tr w:rsidR="003C54A7" w14:paraId="38C33C6D" w14:textId="77777777">
        <w:trPr>
          <w:cantSplit/>
          <w:jc w:val="center"/>
        </w:trPr>
        <w:tc>
          <w:tcPr>
            <w:tcW w:w="3402" w:type="dxa"/>
            <w:tcMar>
              <w:top w:w="45" w:type="dxa"/>
              <w:left w:w="85" w:type="dxa"/>
              <w:bottom w:w="45" w:type="dxa"/>
              <w:right w:w="85" w:type="dxa"/>
            </w:tcMar>
          </w:tcPr>
          <w:p w14:paraId="3BD0C8BF" w14:textId="77777777" w:rsidR="003C54A7" w:rsidRDefault="002413B1">
            <w:r>
              <w:t>Risk, conflicts, uncertainty, or policy review</w:t>
            </w:r>
          </w:p>
        </w:tc>
        <w:tc>
          <w:tcPr>
            <w:tcW w:w="2494" w:type="dxa"/>
            <w:tcMar>
              <w:top w:w="45" w:type="dxa"/>
              <w:left w:w="85" w:type="dxa"/>
              <w:bottom w:w="45" w:type="dxa"/>
              <w:right w:w="85" w:type="dxa"/>
            </w:tcMar>
          </w:tcPr>
          <w:p w14:paraId="53B2184F" w14:textId="77777777" w:rsidR="003C54A7" w:rsidRDefault="002413B1">
            <w:r>
              <w:t>Risk &amp; Governance Reviewer</w:t>
            </w:r>
          </w:p>
        </w:tc>
        <w:tc>
          <w:tcPr>
            <w:tcW w:w="3742" w:type="dxa"/>
            <w:tcMar>
              <w:top w:w="45" w:type="dxa"/>
              <w:left w:w="85" w:type="dxa"/>
              <w:bottom w:w="45" w:type="dxa"/>
              <w:right w:w="85" w:type="dxa"/>
            </w:tcMar>
          </w:tcPr>
          <w:p w14:paraId="725B6F21" w14:textId="77777777" w:rsidR="003C54A7" w:rsidRDefault="002413B1">
            <w:r>
              <w:t>Creates an independent gate before communication.</w:t>
            </w:r>
          </w:p>
        </w:tc>
      </w:tr>
      <w:tr w:rsidR="003C54A7" w14:paraId="5E4CB4EF" w14:textId="77777777">
        <w:trPr>
          <w:cantSplit/>
          <w:jc w:val="center"/>
        </w:trPr>
        <w:tc>
          <w:tcPr>
            <w:tcW w:w="3402" w:type="dxa"/>
            <w:shd w:val="clear" w:color="auto" w:fill="F3F5F7"/>
            <w:tcMar>
              <w:top w:w="45" w:type="dxa"/>
              <w:left w:w="85" w:type="dxa"/>
              <w:bottom w:w="45" w:type="dxa"/>
              <w:right w:w="85" w:type="dxa"/>
            </w:tcMar>
          </w:tcPr>
          <w:p w14:paraId="34F1E9C1" w14:textId="77777777" w:rsidR="003C54A7" w:rsidRDefault="002413B1">
            <w:r>
              <w:t>A decision-ready summary</w:t>
            </w:r>
          </w:p>
        </w:tc>
        <w:tc>
          <w:tcPr>
            <w:tcW w:w="2494" w:type="dxa"/>
            <w:shd w:val="clear" w:color="auto" w:fill="F3F5F7"/>
            <w:tcMar>
              <w:top w:w="45" w:type="dxa"/>
              <w:left w:w="85" w:type="dxa"/>
              <w:bottom w:w="45" w:type="dxa"/>
              <w:right w:w="85" w:type="dxa"/>
            </w:tcMar>
          </w:tcPr>
          <w:p w14:paraId="3FA167E1" w14:textId="77777777" w:rsidR="003C54A7" w:rsidRDefault="002413B1">
            <w:r>
              <w:t>Executive Communicator</w:t>
            </w:r>
          </w:p>
        </w:tc>
        <w:tc>
          <w:tcPr>
            <w:tcW w:w="3742" w:type="dxa"/>
            <w:shd w:val="clear" w:color="auto" w:fill="F3F5F7"/>
            <w:tcMar>
              <w:top w:w="45" w:type="dxa"/>
              <w:left w:w="85" w:type="dxa"/>
              <w:bottom w:w="45" w:type="dxa"/>
              <w:right w:w="85" w:type="dxa"/>
            </w:tcMar>
          </w:tcPr>
          <w:p w14:paraId="2E1B099E" w14:textId="77777777" w:rsidR="003C54A7" w:rsidRDefault="002413B1">
            <w:r>
              <w:t>Changes presentation, not evidence or approval state.</w:t>
            </w:r>
          </w:p>
        </w:tc>
      </w:tr>
    </w:tbl>
    <w:p w14:paraId="3FC61A0D" w14:textId="77777777" w:rsidR="003C54A7" w:rsidRDefault="002413B1">
      <w:r>
        <w:t>The orchestrator does not call every persona by default. It selects the minimum evidence-producing specialists required by the question. The optimizer and governance reviewer are mandatory only for proposal workflows. The communicator runs after governance so that polished language cannot bypass the control point.</w:t>
      </w:r>
    </w:p>
    <w:p w14:paraId="2DE24DC6" w14:textId="77777777" w:rsidR="003C54A7" w:rsidRDefault="002413B1">
      <w:r>
        <w:t>A new persona is justified when it needs a distinct contract, evidence source, policy, or evaluation suite. It is not justified merely because another title sounds realistic. This rule keeps orchestration understandable and prevents token-heavy agent debates that produce no additional evidence.</w:t>
      </w:r>
    </w:p>
    <w:tbl>
      <w:tblPr>
        <w:tblW w:w="0" w:type="auto"/>
        <w:jc w:val="center"/>
        <w:tblLayout w:type="fixed"/>
        <w:tblLook w:val="04A0" w:firstRow="1" w:lastRow="0" w:firstColumn="1" w:lastColumn="0" w:noHBand="0" w:noVBand="1"/>
      </w:tblPr>
      <w:tblGrid>
        <w:gridCol w:w="280"/>
        <w:gridCol w:w="9756"/>
      </w:tblGrid>
      <w:tr w:rsidR="003C54A7" w14:paraId="6AAC8D92" w14:textId="77777777" w:rsidTr="00C67922">
        <w:trPr>
          <w:jc w:val="center"/>
        </w:trPr>
        <w:tc>
          <w:tcPr>
            <w:tcW w:w="280" w:type="dxa"/>
            <w:shd w:val="clear" w:color="auto" w:fill="008C95"/>
            <w:tcMar>
              <w:top w:w="100" w:type="dxa"/>
              <w:left w:w="130" w:type="dxa"/>
              <w:bottom w:w="100" w:type="dxa"/>
              <w:right w:w="130" w:type="dxa"/>
            </w:tcMar>
          </w:tcPr>
          <w:p w14:paraId="5DCE71BB" w14:textId="77777777" w:rsidR="003C54A7" w:rsidRDefault="003C54A7"/>
        </w:tc>
        <w:tc>
          <w:tcPr>
            <w:tcW w:w="9756" w:type="dxa"/>
            <w:shd w:val="clear" w:color="auto" w:fill="E8F6F5"/>
            <w:tcMar>
              <w:top w:w="100" w:type="dxa"/>
              <w:left w:w="130" w:type="dxa"/>
              <w:bottom w:w="100" w:type="dxa"/>
              <w:right w:w="130" w:type="dxa"/>
            </w:tcMar>
            <w:vAlign w:val="center"/>
          </w:tcPr>
          <w:p w14:paraId="53EDF3BD" w14:textId="77777777" w:rsidR="003C54A7" w:rsidRDefault="002413B1">
            <w:pPr>
              <w:pStyle w:val="Callout"/>
            </w:pPr>
            <w:r>
              <w:t xml:space="preserve">Extension </w:t>
            </w:r>
            <w:proofErr w:type="gramStart"/>
            <w:r>
              <w:t xml:space="preserve">example  </w:t>
            </w:r>
            <w:r>
              <w:rPr>
                <w:b w:val="0"/>
              </w:rPr>
              <w:t>A</w:t>
            </w:r>
            <w:proofErr w:type="gramEnd"/>
            <w:r>
              <w:rPr>
                <w:b w:val="0"/>
              </w:rPr>
              <w:t xml:space="preserve"> Sustainability Analyst can be added later by registering carbon-intensity evidence, defining a narrow output contract, and adding one graph route—without changing cost collection or existing personas.</w:t>
            </w:r>
          </w:p>
        </w:tc>
      </w:tr>
    </w:tbl>
    <w:p w14:paraId="78C01A2A" w14:textId="77777777" w:rsidR="003C54A7" w:rsidRDefault="003C54A7">
      <w:pPr>
        <w:spacing w:after="0"/>
      </w:pPr>
    </w:p>
    <w:p w14:paraId="7CB8AE52" w14:textId="77777777" w:rsidR="003C54A7" w:rsidRDefault="002413B1">
      <w:pPr>
        <w:pStyle w:val="Heading1"/>
      </w:pPr>
      <w:r>
        <w:t>Tools are the anti-coupling layer between AI and infrastructure</w:t>
      </w:r>
    </w:p>
    <w:p w14:paraId="540483BD" w14:textId="77777777" w:rsidR="003C54A7" w:rsidRDefault="002413B1">
      <w:pPr>
        <w:spacing w:after="160"/>
      </w:pPr>
      <w:r>
        <w:rPr>
          <w:i/>
          <w:color w:val="52606D"/>
          <w:sz w:val="21"/>
        </w:rPr>
        <w:t>The model asks for evidence; application code decides whether and how that evidence may be retrieved.</w:t>
      </w:r>
    </w:p>
    <w:p w14:paraId="4C3EBE8E" w14:textId="77777777" w:rsidR="003C54A7" w:rsidRDefault="002413B1">
      <w:r>
        <w:t xml:space="preserve">Agents never receive database connections or Azure credentials. They receive schemas for allow-listed tools such as </w:t>
      </w:r>
      <w:proofErr w:type="spellStart"/>
      <w:r>
        <w:t>cost_summary</w:t>
      </w:r>
      <w:proofErr w:type="spellEnd"/>
      <w:r>
        <w:t xml:space="preserve"> and </w:t>
      </w:r>
      <w:proofErr w:type="spellStart"/>
      <w:r>
        <w:t>resource_inventory</w:t>
      </w:r>
      <w:proofErr w:type="spellEnd"/>
      <w:r>
        <w:t>. The registry validates arguments, checks persona authorization, applies timeouts and call budgets, executes read-only code, and returns timestamped evidence IDs.</w:t>
      </w:r>
    </w:p>
    <w:p w14:paraId="1E211FB6" w14:textId="77777777" w:rsidR="003C54A7" w:rsidRDefault="002413B1">
      <w:r>
        <w:t xml:space="preserve">This indirection is essential. Prompts can evolve without changing data access. Storage can evolve without changing prompts. Security policy remains enforceable in code rather than </w:t>
      </w:r>
      <w:proofErr w:type="gramStart"/>
      <w:r>
        <w:t>being expressed</w:t>
      </w:r>
      <w:proofErr w:type="gramEnd"/>
      <w:r>
        <w:t xml:space="preserve"> as a sentence the model may ignore. It also creates a clean extension </w:t>
      </w:r>
      <w:proofErr w:type="gramStart"/>
      <w:r>
        <w:t>point:</w:t>
      </w:r>
      <w:proofErr w:type="gramEnd"/>
      <w:r>
        <w:t xml:space="preserve"> add a tool adapter and evidence contract instead of teaching every persona a new backend.</w:t>
      </w:r>
    </w:p>
    <w:p w14:paraId="77CA3F96" w14:textId="77777777" w:rsidR="003C54A7" w:rsidRDefault="002413B1">
      <w:r>
        <w:br w:type="page"/>
      </w:r>
    </w:p>
    <w:p w14:paraId="24F65FB8" w14:textId="77777777" w:rsidR="003C54A7" w:rsidRDefault="002413B1">
      <w:pPr>
        <w:pStyle w:val="Heading1"/>
      </w:pPr>
      <w:r>
        <w:lastRenderedPageBreak/>
        <w:t>Governance is part of the graph, not a disclaimer</w:t>
      </w:r>
    </w:p>
    <w:p w14:paraId="1AC2E3FF" w14:textId="77777777" w:rsidR="003C54A7" w:rsidRDefault="002413B1">
      <w:pPr>
        <w:spacing w:after="160"/>
      </w:pPr>
      <w:r>
        <w:rPr>
          <w:i/>
          <w:color w:val="52606D"/>
          <w:sz w:val="21"/>
        </w:rPr>
        <w:t>A recommendation is useful only when its evidence, uncertainty, risk, and approval status travel with it.</w:t>
      </w:r>
    </w:p>
    <w:p w14:paraId="41B1726C" w14:textId="77777777" w:rsidR="003C54A7" w:rsidRDefault="002413B1">
      <w:pPr>
        <w:spacing w:after="60"/>
        <w:jc w:val="center"/>
      </w:pPr>
      <w:r>
        <w:rPr>
          <w:noProof/>
        </w:rPr>
        <w:drawing>
          <wp:inline distT="0" distB="0" distL="0" distR="0" wp14:anchorId="1EAC29E7" wp14:editId="4DD03651">
            <wp:extent cx="5832000" cy="34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ersistence_governance.png"/>
                    <pic:cNvPicPr/>
                  </pic:nvPicPr>
                  <pic:blipFill>
                    <a:blip r:embed="rId11"/>
                    <a:stretch>
                      <a:fillRect/>
                    </a:stretch>
                  </pic:blipFill>
                  <pic:spPr>
                    <a:xfrm>
                      <a:off x="0" y="0"/>
                      <a:ext cx="5832000" cy="3402000"/>
                    </a:xfrm>
                    <a:prstGeom prst="rect">
                      <a:avLst/>
                    </a:prstGeom>
                  </pic:spPr>
                </pic:pic>
              </a:graphicData>
            </a:graphic>
          </wp:inline>
        </w:drawing>
      </w:r>
    </w:p>
    <w:p w14:paraId="4F7F6955" w14:textId="77777777" w:rsidR="003C54A7" w:rsidRDefault="002413B1">
      <w:pPr>
        <w:pStyle w:val="PortfolioCaption"/>
        <w:keepNext/>
        <w:jc w:val="center"/>
      </w:pPr>
      <w:r>
        <w:t>Product audit records remain separate from framework checkpoint state.</w:t>
      </w:r>
    </w:p>
    <w:p w14:paraId="65F8C262" w14:textId="77777777" w:rsidR="003C54A7" w:rsidRDefault="002413B1">
      <w:r>
        <w:t>The proposal schema structurally requires human approval. Governance can accept a proposal for presentation, reject it, or request a bounded refinement. It cannot execute remediation. The runtime also limits model calls, tool calls, refinement rounds, and total duration before execution begins.</w:t>
      </w:r>
    </w:p>
    <w:p w14:paraId="13462802" w14:textId="77777777" w:rsidR="003C54A7" w:rsidRDefault="002413B1">
      <w:r>
        <w:t xml:space="preserve">Four domain tables capture runs, events, messages, and artifacts. </w:t>
      </w:r>
      <w:proofErr w:type="spellStart"/>
      <w:r>
        <w:t>LangGraph</w:t>
      </w:r>
      <w:proofErr w:type="spellEnd"/>
      <w:r>
        <w:t xml:space="preserve"> owns separate checkpoint tables for workflow continuation. This separation avoids coupling product APIs to framework internals: the business audit model can remain stable even if the orchestration library changes.</w:t>
      </w:r>
    </w:p>
    <w:tbl>
      <w:tblPr>
        <w:tblStyle w:val="TableGrid"/>
        <w:tblW w:w="0" w:type="auto"/>
        <w:jc w:val="center"/>
        <w:tblLayout w:type="fixed"/>
        <w:tblLook w:val="04A0" w:firstRow="1" w:lastRow="0" w:firstColumn="1" w:lastColumn="0" w:noHBand="0" w:noVBand="1"/>
      </w:tblPr>
      <w:tblGrid>
        <w:gridCol w:w="4819"/>
        <w:gridCol w:w="4819"/>
      </w:tblGrid>
      <w:tr w:rsidR="003C54A7" w14:paraId="54D777C2" w14:textId="77777777">
        <w:trPr>
          <w:tblHeader/>
          <w:jc w:val="center"/>
        </w:trPr>
        <w:tc>
          <w:tcPr>
            <w:tcW w:w="4819" w:type="dxa"/>
            <w:shd w:val="clear" w:color="auto" w:fill="17365D"/>
            <w:tcMar>
              <w:top w:w="45" w:type="dxa"/>
              <w:left w:w="85" w:type="dxa"/>
              <w:bottom w:w="45" w:type="dxa"/>
              <w:right w:w="85" w:type="dxa"/>
            </w:tcMar>
          </w:tcPr>
          <w:p w14:paraId="0579989E" w14:textId="77777777" w:rsidR="003C54A7" w:rsidRDefault="002413B1">
            <w:r>
              <w:rPr>
                <w:b/>
                <w:color w:val="FFFFFF"/>
              </w:rPr>
              <w:t>Persist</w:t>
            </w:r>
          </w:p>
        </w:tc>
        <w:tc>
          <w:tcPr>
            <w:tcW w:w="4819" w:type="dxa"/>
            <w:shd w:val="clear" w:color="auto" w:fill="17365D"/>
            <w:tcMar>
              <w:top w:w="45" w:type="dxa"/>
              <w:left w:w="85" w:type="dxa"/>
              <w:bottom w:w="45" w:type="dxa"/>
              <w:right w:w="85" w:type="dxa"/>
            </w:tcMar>
          </w:tcPr>
          <w:p w14:paraId="24E0883E" w14:textId="77777777" w:rsidR="003C54A7" w:rsidRDefault="002413B1">
            <w:r>
              <w:rPr>
                <w:b/>
                <w:color w:val="FFFFFF"/>
              </w:rPr>
              <w:t>Do not persist</w:t>
            </w:r>
          </w:p>
        </w:tc>
      </w:tr>
      <w:tr w:rsidR="003C54A7" w14:paraId="65B879A7" w14:textId="77777777">
        <w:trPr>
          <w:cantSplit/>
          <w:jc w:val="center"/>
        </w:trPr>
        <w:tc>
          <w:tcPr>
            <w:tcW w:w="4819" w:type="dxa"/>
            <w:tcMar>
              <w:top w:w="45" w:type="dxa"/>
              <w:left w:w="85" w:type="dxa"/>
              <w:bottom w:w="45" w:type="dxa"/>
              <w:right w:w="85" w:type="dxa"/>
            </w:tcMar>
          </w:tcPr>
          <w:p w14:paraId="691A2105" w14:textId="77777777" w:rsidR="003C54A7" w:rsidRDefault="002413B1">
            <w:r>
              <w:t>Evidence IDs, sources, timestamps, findings, proposals, verdicts, model/tool metadata</w:t>
            </w:r>
          </w:p>
        </w:tc>
        <w:tc>
          <w:tcPr>
            <w:tcW w:w="4819" w:type="dxa"/>
            <w:tcMar>
              <w:top w:w="45" w:type="dxa"/>
              <w:left w:w="85" w:type="dxa"/>
              <w:bottom w:w="45" w:type="dxa"/>
              <w:right w:w="85" w:type="dxa"/>
            </w:tcMar>
          </w:tcPr>
          <w:p w14:paraId="2A71AAF6" w14:textId="77777777" w:rsidR="003C54A7" w:rsidRDefault="002413B1">
            <w:r>
              <w:t>Credentials, raw secrets, hidden chain-of-thought, executable remediation</w:t>
            </w:r>
          </w:p>
        </w:tc>
      </w:tr>
      <w:tr w:rsidR="003C54A7" w14:paraId="67F1E2ED" w14:textId="77777777">
        <w:trPr>
          <w:cantSplit/>
          <w:jc w:val="center"/>
        </w:trPr>
        <w:tc>
          <w:tcPr>
            <w:tcW w:w="4819" w:type="dxa"/>
            <w:shd w:val="clear" w:color="auto" w:fill="F3F5F7"/>
            <w:tcMar>
              <w:top w:w="45" w:type="dxa"/>
              <w:left w:w="85" w:type="dxa"/>
              <w:bottom w:w="45" w:type="dxa"/>
              <w:right w:w="85" w:type="dxa"/>
            </w:tcMar>
          </w:tcPr>
          <w:p w14:paraId="711FF726" w14:textId="77777777" w:rsidR="003C54A7" w:rsidRDefault="002413B1">
            <w:r>
              <w:t>Actor scope, workflow status, latency, prompt version, safe errors</w:t>
            </w:r>
          </w:p>
        </w:tc>
        <w:tc>
          <w:tcPr>
            <w:tcW w:w="4819" w:type="dxa"/>
            <w:shd w:val="clear" w:color="auto" w:fill="F3F5F7"/>
            <w:tcMar>
              <w:top w:w="45" w:type="dxa"/>
              <w:left w:w="85" w:type="dxa"/>
              <w:bottom w:w="45" w:type="dxa"/>
              <w:right w:w="85" w:type="dxa"/>
            </w:tcMar>
          </w:tcPr>
          <w:p w14:paraId="725953D4" w14:textId="77777777" w:rsidR="003C54A7" w:rsidRDefault="002413B1">
            <w:r>
              <w:t>Provider stack traces or unbounded raw observations</w:t>
            </w:r>
          </w:p>
        </w:tc>
      </w:tr>
    </w:tbl>
    <w:p w14:paraId="459B8220" w14:textId="77777777" w:rsidR="003C54A7" w:rsidRDefault="002413B1">
      <w:pPr>
        <w:pStyle w:val="Heading1"/>
      </w:pPr>
      <w:r>
        <w:t>Why Docker Compose for the reference deployment?</w:t>
      </w:r>
    </w:p>
    <w:p w14:paraId="79DBF245" w14:textId="77777777" w:rsidR="003C54A7" w:rsidRDefault="002413B1">
      <w:pPr>
        <w:spacing w:after="160"/>
      </w:pPr>
      <w:r>
        <w:rPr>
          <w:i/>
          <w:color w:val="52606D"/>
          <w:sz w:val="21"/>
        </w:rPr>
        <w:t>The goal is a reproducible architecture boundary, not a claim that Compose is the final production platform.</w:t>
      </w:r>
    </w:p>
    <w:p w14:paraId="05EA2972" w14:textId="77777777" w:rsidR="003C54A7" w:rsidRDefault="002413B1">
      <w:r>
        <w:t>The reference stack packages PostgreSQL/</w:t>
      </w:r>
      <w:proofErr w:type="spellStart"/>
      <w:r>
        <w:t>TimescaleDB</w:t>
      </w:r>
      <w:proofErr w:type="spellEnd"/>
      <w:r>
        <w:t xml:space="preserve">, a one-shot migration, </w:t>
      </w:r>
      <w:proofErr w:type="spellStart"/>
      <w:r>
        <w:t>FastAPI</w:t>
      </w:r>
      <w:proofErr w:type="spellEnd"/>
      <w:r>
        <w:t xml:space="preserve">, a scheduler worker, Prometheus, and Grafana. Health-gated dependencies make startup deterministic, while sharing one application image across API, migration, and worker processes </w:t>
      </w:r>
      <w:proofErr w:type="gramStart"/>
      <w:r>
        <w:t>reduces</w:t>
      </w:r>
      <w:proofErr w:type="gramEnd"/>
      <w:r>
        <w:t xml:space="preserve"> drift.</w:t>
      </w:r>
    </w:p>
    <w:p w14:paraId="0344AEF1" w14:textId="77777777" w:rsidR="003C54A7" w:rsidRDefault="002413B1">
      <w:r>
        <w:t>Compose is the right choice for local development, demonstrations, and integration tests because it exposes service contracts without adding orchestrator complexity. Production can move to managed PostgreSQL, Container Apps or Kubernetes, Key Vault, Managed Identity, and managed observability. The application modules do not need to change because deployment concerns remain outside them.</w:t>
      </w:r>
    </w:p>
    <w:p w14:paraId="7CF813B0" w14:textId="77777777" w:rsidR="003C54A7" w:rsidRDefault="002413B1">
      <w:r>
        <w:br w:type="page"/>
      </w:r>
    </w:p>
    <w:p w14:paraId="5418335C" w14:textId="77777777" w:rsidR="003C54A7" w:rsidRDefault="002413B1">
      <w:pPr>
        <w:pStyle w:val="Heading1"/>
      </w:pPr>
      <w:r>
        <w:lastRenderedPageBreak/>
        <w:t xml:space="preserve">How </w:t>
      </w:r>
      <w:proofErr w:type="gramStart"/>
      <w:r>
        <w:t>the architecture</w:t>
      </w:r>
      <w:proofErr w:type="gramEnd"/>
      <w:r>
        <w:t xml:space="preserve"> extends</w:t>
      </w:r>
    </w:p>
    <w:p w14:paraId="3F773AE5" w14:textId="77777777" w:rsidR="003C54A7" w:rsidRDefault="002413B1">
      <w:pPr>
        <w:spacing w:after="160"/>
      </w:pPr>
      <w:r>
        <w:rPr>
          <w:i/>
          <w:color w:val="52606D"/>
          <w:sz w:val="21"/>
        </w:rPr>
        <w:t>Extension should mean adding a module or adapter—not editing every layer.</w:t>
      </w:r>
    </w:p>
    <w:tbl>
      <w:tblPr>
        <w:tblStyle w:val="TableGrid"/>
        <w:tblW w:w="0" w:type="auto"/>
        <w:jc w:val="center"/>
        <w:tblLayout w:type="fixed"/>
        <w:tblLook w:val="04A0" w:firstRow="1" w:lastRow="0" w:firstColumn="1" w:lastColumn="0" w:noHBand="0" w:noVBand="1"/>
      </w:tblPr>
      <w:tblGrid>
        <w:gridCol w:w="3118"/>
        <w:gridCol w:w="6520"/>
      </w:tblGrid>
      <w:tr w:rsidR="003C54A7" w14:paraId="01EBF3ED" w14:textId="77777777">
        <w:trPr>
          <w:tblHeader/>
          <w:jc w:val="center"/>
        </w:trPr>
        <w:tc>
          <w:tcPr>
            <w:tcW w:w="3118" w:type="dxa"/>
            <w:shd w:val="clear" w:color="auto" w:fill="17365D"/>
            <w:tcMar>
              <w:top w:w="45" w:type="dxa"/>
              <w:left w:w="85" w:type="dxa"/>
              <w:bottom w:w="45" w:type="dxa"/>
              <w:right w:w="85" w:type="dxa"/>
            </w:tcMar>
          </w:tcPr>
          <w:p w14:paraId="5C1B414D" w14:textId="77777777" w:rsidR="003C54A7" w:rsidRDefault="002413B1">
            <w:r>
              <w:rPr>
                <w:b/>
                <w:color w:val="FFFFFF"/>
              </w:rPr>
              <w:t>Future requirement</w:t>
            </w:r>
          </w:p>
        </w:tc>
        <w:tc>
          <w:tcPr>
            <w:tcW w:w="6520" w:type="dxa"/>
            <w:shd w:val="clear" w:color="auto" w:fill="17365D"/>
            <w:tcMar>
              <w:top w:w="45" w:type="dxa"/>
              <w:left w:w="85" w:type="dxa"/>
              <w:bottom w:w="45" w:type="dxa"/>
              <w:right w:w="85" w:type="dxa"/>
            </w:tcMar>
          </w:tcPr>
          <w:p w14:paraId="1CA50636" w14:textId="77777777" w:rsidR="003C54A7" w:rsidRDefault="002413B1">
            <w:r>
              <w:rPr>
                <w:b/>
                <w:color w:val="FFFFFF"/>
              </w:rPr>
              <w:t>Extension seam</w:t>
            </w:r>
          </w:p>
        </w:tc>
      </w:tr>
      <w:tr w:rsidR="003C54A7" w14:paraId="459A5215" w14:textId="77777777">
        <w:trPr>
          <w:cantSplit/>
          <w:jc w:val="center"/>
        </w:trPr>
        <w:tc>
          <w:tcPr>
            <w:tcW w:w="3118" w:type="dxa"/>
            <w:tcMar>
              <w:top w:w="45" w:type="dxa"/>
              <w:left w:w="85" w:type="dxa"/>
              <w:bottom w:w="45" w:type="dxa"/>
              <w:right w:w="85" w:type="dxa"/>
            </w:tcMar>
          </w:tcPr>
          <w:p w14:paraId="53F98850" w14:textId="77777777" w:rsidR="003C54A7" w:rsidRDefault="002413B1">
            <w:r>
              <w:t>Another LLM provider</w:t>
            </w:r>
          </w:p>
        </w:tc>
        <w:tc>
          <w:tcPr>
            <w:tcW w:w="6520" w:type="dxa"/>
            <w:tcMar>
              <w:top w:w="45" w:type="dxa"/>
              <w:left w:w="85" w:type="dxa"/>
              <w:bottom w:w="45" w:type="dxa"/>
              <w:right w:w="85" w:type="dxa"/>
            </w:tcMar>
          </w:tcPr>
          <w:p w14:paraId="26EF4E44" w14:textId="77777777" w:rsidR="003C54A7" w:rsidRDefault="002413B1">
            <w:r>
              <w:t>Implement the shared model factory contract and configuration validation.</w:t>
            </w:r>
          </w:p>
        </w:tc>
      </w:tr>
      <w:tr w:rsidR="003C54A7" w14:paraId="67A63F2E" w14:textId="77777777">
        <w:trPr>
          <w:cantSplit/>
          <w:jc w:val="center"/>
        </w:trPr>
        <w:tc>
          <w:tcPr>
            <w:tcW w:w="3118" w:type="dxa"/>
            <w:shd w:val="clear" w:color="auto" w:fill="F3F5F7"/>
            <w:tcMar>
              <w:top w:w="45" w:type="dxa"/>
              <w:left w:w="85" w:type="dxa"/>
              <w:bottom w:w="45" w:type="dxa"/>
              <w:right w:w="85" w:type="dxa"/>
            </w:tcMar>
          </w:tcPr>
          <w:p w14:paraId="4C4BBF21" w14:textId="77777777" w:rsidR="003C54A7" w:rsidRDefault="002413B1">
            <w:r>
              <w:t>New cloud or billing source</w:t>
            </w:r>
          </w:p>
        </w:tc>
        <w:tc>
          <w:tcPr>
            <w:tcW w:w="6520" w:type="dxa"/>
            <w:shd w:val="clear" w:color="auto" w:fill="F3F5F7"/>
            <w:tcMar>
              <w:top w:w="45" w:type="dxa"/>
              <w:left w:w="85" w:type="dxa"/>
              <w:bottom w:w="45" w:type="dxa"/>
              <w:right w:w="85" w:type="dxa"/>
            </w:tcMar>
          </w:tcPr>
          <w:p w14:paraId="10F0241E" w14:textId="77777777" w:rsidR="003C54A7" w:rsidRDefault="002413B1">
            <w:r>
              <w:t>Add an integration adapter that emits canonical cost/inventory evidence.</w:t>
            </w:r>
          </w:p>
        </w:tc>
      </w:tr>
      <w:tr w:rsidR="003C54A7" w14:paraId="07E98817" w14:textId="77777777">
        <w:trPr>
          <w:cantSplit/>
          <w:jc w:val="center"/>
        </w:trPr>
        <w:tc>
          <w:tcPr>
            <w:tcW w:w="3118" w:type="dxa"/>
            <w:tcMar>
              <w:top w:w="45" w:type="dxa"/>
              <w:left w:w="85" w:type="dxa"/>
              <w:bottom w:w="45" w:type="dxa"/>
              <w:right w:w="85" w:type="dxa"/>
            </w:tcMar>
          </w:tcPr>
          <w:p w14:paraId="6FD2AEF6" w14:textId="77777777" w:rsidR="003C54A7" w:rsidRDefault="002413B1">
            <w:r>
              <w:t>New specialist persona</w:t>
            </w:r>
          </w:p>
        </w:tc>
        <w:tc>
          <w:tcPr>
            <w:tcW w:w="6520" w:type="dxa"/>
            <w:tcMar>
              <w:top w:w="45" w:type="dxa"/>
              <w:left w:w="85" w:type="dxa"/>
              <w:bottom w:w="45" w:type="dxa"/>
              <w:right w:w="85" w:type="dxa"/>
            </w:tcMar>
          </w:tcPr>
          <w:p w14:paraId="008EF8C0" w14:textId="77777777" w:rsidR="003C54A7" w:rsidRDefault="002413B1">
            <w:r>
              <w:t>Define a persona contract, structured output, allowed tools, and graph route.</w:t>
            </w:r>
          </w:p>
        </w:tc>
      </w:tr>
      <w:tr w:rsidR="003C54A7" w14:paraId="515B6525" w14:textId="77777777">
        <w:trPr>
          <w:cantSplit/>
          <w:jc w:val="center"/>
        </w:trPr>
        <w:tc>
          <w:tcPr>
            <w:tcW w:w="3118" w:type="dxa"/>
            <w:shd w:val="clear" w:color="auto" w:fill="F3F5F7"/>
            <w:tcMar>
              <w:top w:w="45" w:type="dxa"/>
              <w:left w:w="85" w:type="dxa"/>
              <w:bottom w:w="45" w:type="dxa"/>
              <w:right w:w="85" w:type="dxa"/>
            </w:tcMar>
          </w:tcPr>
          <w:p w14:paraId="25167F86" w14:textId="77777777" w:rsidR="003C54A7" w:rsidRDefault="002413B1">
            <w:r>
              <w:t>New evidence source</w:t>
            </w:r>
          </w:p>
        </w:tc>
        <w:tc>
          <w:tcPr>
            <w:tcW w:w="6520" w:type="dxa"/>
            <w:shd w:val="clear" w:color="auto" w:fill="F3F5F7"/>
            <w:tcMar>
              <w:top w:w="45" w:type="dxa"/>
              <w:left w:w="85" w:type="dxa"/>
              <w:bottom w:w="45" w:type="dxa"/>
              <w:right w:w="85" w:type="dxa"/>
            </w:tcMar>
          </w:tcPr>
          <w:p w14:paraId="6B26FA40" w14:textId="77777777" w:rsidR="003C54A7" w:rsidRDefault="002413B1">
            <w:r>
              <w:t xml:space="preserve">Register a read-only tool with </w:t>
            </w:r>
            <w:proofErr w:type="spellStart"/>
            <w:r>
              <w:t>Pydantic</w:t>
            </w:r>
            <w:proofErr w:type="spellEnd"/>
            <w:r>
              <w:t xml:space="preserve"> input/output and evidence metadata.</w:t>
            </w:r>
          </w:p>
        </w:tc>
      </w:tr>
      <w:tr w:rsidR="003C54A7" w14:paraId="6B741C26" w14:textId="77777777">
        <w:trPr>
          <w:cantSplit/>
          <w:jc w:val="center"/>
        </w:trPr>
        <w:tc>
          <w:tcPr>
            <w:tcW w:w="3118" w:type="dxa"/>
            <w:tcMar>
              <w:top w:w="45" w:type="dxa"/>
              <w:left w:w="85" w:type="dxa"/>
              <w:bottom w:w="45" w:type="dxa"/>
              <w:right w:w="85" w:type="dxa"/>
            </w:tcMar>
          </w:tcPr>
          <w:p w14:paraId="3A441049" w14:textId="77777777" w:rsidR="003C54A7" w:rsidRDefault="002413B1">
            <w:r>
              <w:t>Warehouse analytics</w:t>
            </w:r>
          </w:p>
        </w:tc>
        <w:tc>
          <w:tcPr>
            <w:tcW w:w="6520" w:type="dxa"/>
            <w:tcMar>
              <w:top w:w="45" w:type="dxa"/>
              <w:left w:w="85" w:type="dxa"/>
              <w:bottom w:w="45" w:type="dxa"/>
              <w:right w:w="85" w:type="dxa"/>
            </w:tcMar>
          </w:tcPr>
          <w:p w14:paraId="6031A42C" w14:textId="77777777" w:rsidR="003C54A7" w:rsidRDefault="002413B1">
            <w:r>
              <w:t>Fan out normalized records or replace the repository implementation.</w:t>
            </w:r>
          </w:p>
        </w:tc>
      </w:tr>
      <w:tr w:rsidR="003C54A7" w14:paraId="1BBC8D26" w14:textId="77777777">
        <w:trPr>
          <w:cantSplit/>
          <w:jc w:val="center"/>
        </w:trPr>
        <w:tc>
          <w:tcPr>
            <w:tcW w:w="3118" w:type="dxa"/>
            <w:shd w:val="clear" w:color="auto" w:fill="F3F5F7"/>
            <w:tcMar>
              <w:top w:w="45" w:type="dxa"/>
              <w:left w:w="85" w:type="dxa"/>
              <w:bottom w:w="45" w:type="dxa"/>
              <w:right w:w="85" w:type="dxa"/>
            </w:tcMar>
          </w:tcPr>
          <w:p w14:paraId="6068DAC9" w14:textId="77777777" w:rsidR="003C54A7" w:rsidRDefault="002413B1">
            <w:r>
              <w:t>Different UI</w:t>
            </w:r>
          </w:p>
        </w:tc>
        <w:tc>
          <w:tcPr>
            <w:tcW w:w="6520" w:type="dxa"/>
            <w:shd w:val="clear" w:color="auto" w:fill="F3F5F7"/>
            <w:tcMar>
              <w:top w:w="45" w:type="dxa"/>
              <w:left w:w="85" w:type="dxa"/>
              <w:bottom w:w="45" w:type="dxa"/>
              <w:right w:w="85" w:type="dxa"/>
            </w:tcMar>
          </w:tcPr>
          <w:p w14:paraId="319E29F6" w14:textId="77777777" w:rsidR="003C54A7" w:rsidRDefault="002413B1">
            <w:r>
              <w:t>Consume versioned APIs and artifact provenance; no graph rewrite is required.</w:t>
            </w:r>
          </w:p>
        </w:tc>
      </w:tr>
      <w:tr w:rsidR="003C54A7" w14:paraId="5FA9B7E1" w14:textId="77777777">
        <w:trPr>
          <w:cantSplit/>
          <w:jc w:val="center"/>
        </w:trPr>
        <w:tc>
          <w:tcPr>
            <w:tcW w:w="3118" w:type="dxa"/>
            <w:tcMar>
              <w:top w:w="45" w:type="dxa"/>
              <w:left w:w="85" w:type="dxa"/>
              <w:bottom w:w="45" w:type="dxa"/>
              <w:right w:w="85" w:type="dxa"/>
            </w:tcMar>
          </w:tcPr>
          <w:p w14:paraId="2B7FA8EC" w14:textId="77777777" w:rsidR="003C54A7" w:rsidRDefault="002413B1">
            <w:r>
              <w:t>Approval workflow</w:t>
            </w:r>
          </w:p>
        </w:tc>
        <w:tc>
          <w:tcPr>
            <w:tcW w:w="6520" w:type="dxa"/>
            <w:tcMar>
              <w:top w:w="45" w:type="dxa"/>
              <w:left w:w="85" w:type="dxa"/>
              <w:bottom w:w="45" w:type="dxa"/>
              <w:right w:w="85" w:type="dxa"/>
            </w:tcMar>
          </w:tcPr>
          <w:p w14:paraId="5B802F76" w14:textId="77777777" w:rsidR="003C54A7" w:rsidRDefault="002413B1">
            <w:r>
              <w:t>Add a domain lifecycle around proposal artifacts without coupling approval to cloud execution.</w:t>
            </w:r>
          </w:p>
        </w:tc>
      </w:tr>
      <w:tr w:rsidR="003C54A7" w14:paraId="60677A60" w14:textId="77777777">
        <w:trPr>
          <w:cantSplit/>
          <w:jc w:val="center"/>
        </w:trPr>
        <w:tc>
          <w:tcPr>
            <w:tcW w:w="3118" w:type="dxa"/>
            <w:shd w:val="clear" w:color="auto" w:fill="F3F5F7"/>
            <w:tcMar>
              <w:top w:w="45" w:type="dxa"/>
              <w:left w:w="85" w:type="dxa"/>
              <w:bottom w:w="45" w:type="dxa"/>
              <w:right w:w="85" w:type="dxa"/>
            </w:tcMar>
          </w:tcPr>
          <w:p w14:paraId="0D000FCD" w14:textId="77777777" w:rsidR="003C54A7" w:rsidRDefault="002413B1">
            <w:r>
              <w:t>Safe remediation</w:t>
            </w:r>
          </w:p>
        </w:tc>
        <w:tc>
          <w:tcPr>
            <w:tcW w:w="6520" w:type="dxa"/>
            <w:shd w:val="clear" w:color="auto" w:fill="F3F5F7"/>
            <w:tcMar>
              <w:top w:w="45" w:type="dxa"/>
              <w:left w:w="85" w:type="dxa"/>
              <w:bottom w:w="45" w:type="dxa"/>
              <w:right w:w="85" w:type="dxa"/>
            </w:tcMar>
          </w:tcPr>
          <w:p w14:paraId="566AF5E0" w14:textId="77777777" w:rsidR="003C54A7" w:rsidRDefault="002413B1">
            <w:r>
              <w:t>Introduce a separate least-privilege executor, dry-run, rollback, and separation of duties.</w:t>
            </w:r>
          </w:p>
        </w:tc>
      </w:tr>
    </w:tbl>
    <w:p w14:paraId="7CCE9335" w14:textId="77777777" w:rsidR="003C54A7" w:rsidRDefault="002413B1">
      <w:r>
        <w:t xml:space="preserve">The last item is intentionally not implemented. Advisory intelligence and cloud mutation have different threat models. Combining them early would increase blast radius and make human approval ambiguous. </w:t>
      </w:r>
      <w:proofErr w:type="gramStart"/>
      <w:r>
        <w:t>A mature</w:t>
      </w:r>
      <w:proofErr w:type="gramEnd"/>
      <w:r>
        <w:t xml:space="preserve"> architecture earns autonomy only after evidence quality, evaluation, identity, rollback, and operational ownership are proven.</w:t>
      </w:r>
    </w:p>
    <w:p w14:paraId="1BF24C65" w14:textId="77777777" w:rsidR="003C54A7" w:rsidRDefault="002413B1">
      <w:pPr>
        <w:pStyle w:val="Heading1"/>
      </w:pPr>
      <w:r>
        <w:t>What I would measure next</w:t>
      </w:r>
    </w:p>
    <w:p w14:paraId="39698726" w14:textId="77777777" w:rsidR="003C54A7" w:rsidRDefault="002413B1">
      <w:pPr>
        <w:spacing w:after="160"/>
      </w:pPr>
      <w:r>
        <w:rPr>
          <w:i/>
          <w:color w:val="52606D"/>
          <w:sz w:val="21"/>
        </w:rPr>
        <w:t>Architecture quality should become visible through system behavior, not only diagrams.</w:t>
      </w:r>
    </w:p>
    <w:p w14:paraId="20728915" w14:textId="77777777" w:rsidR="003C54A7" w:rsidRDefault="002413B1">
      <w:pPr>
        <w:pStyle w:val="ListBullet"/>
        <w:spacing w:after="40"/>
      </w:pPr>
      <w:r>
        <w:t>Evidence coverage: percentage of claims with valid, current evidence IDs.</w:t>
      </w:r>
    </w:p>
    <w:p w14:paraId="6501C105" w14:textId="77777777" w:rsidR="003C54A7" w:rsidRDefault="002413B1">
      <w:pPr>
        <w:pStyle w:val="ListBullet"/>
        <w:spacing w:after="40"/>
      </w:pPr>
      <w:r>
        <w:t>Governance quality: rejection and refinement rates by proposal type.</w:t>
      </w:r>
    </w:p>
    <w:p w14:paraId="0F56C738" w14:textId="77777777" w:rsidR="003C54A7" w:rsidRDefault="002413B1">
      <w:pPr>
        <w:pStyle w:val="ListBullet"/>
        <w:spacing w:after="40"/>
      </w:pPr>
      <w:r>
        <w:t>Cost and latency: model/tool calls and end-to-end duration per workflow.</w:t>
      </w:r>
    </w:p>
    <w:p w14:paraId="0F256020" w14:textId="77777777" w:rsidR="003C54A7" w:rsidRDefault="002413B1">
      <w:pPr>
        <w:pStyle w:val="ListBullet"/>
        <w:spacing w:after="40"/>
      </w:pPr>
      <w:r>
        <w:t>Reliability: node failures, checkpoint resumes, timeouts, and provider fallback rates.</w:t>
      </w:r>
    </w:p>
    <w:p w14:paraId="27E5689E" w14:textId="77777777" w:rsidR="003C54A7" w:rsidRDefault="002413B1">
      <w:pPr>
        <w:pStyle w:val="ListBullet"/>
        <w:spacing w:after="40"/>
      </w:pPr>
      <w:r>
        <w:t>Decision value: accepted proposals, validated savings, and time from insight to approval.</w:t>
      </w:r>
    </w:p>
    <w:p w14:paraId="26EB49B2" w14:textId="77777777" w:rsidR="003C54A7" w:rsidRDefault="002413B1">
      <w:pPr>
        <w:pStyle w:val="ListBullet"/>
        <w:spacing w:after="40"/>
      </w:pPr>
      <w:r>
        <w:t>Safety: unauthorized tool attempts, cross-actor access failures, and zero mutation events.</w:t>
      </w:r>
    </w:p>
    <w:p w14:paraId="2B76F267" w14:textId="77777777" w:rsidR="003C54A7" w:rsidRDefault="002413B1">
      <w:r>
        <w:br w:type="page"/>
      </w:r>
    </w:p>
    <w:p w14:paraId="0D3E30DD" w14:textId="77777777" w:rsidR="003C54A7" w:rsidRDefault="002413B1">
      <w:pPr>
        <w:pStyle w:val="Heading1"/>
      </w:pPr>
      <w:r>
        <w:lastRenderedPageBreak/>
        <w:t>Closing perspective</w:t>
      </w:r>
    </w:p>
    <w:p w14:paraId="25E540CA" w14:textId="77777777" w:rsidR="003C54A7" w:rsidRDefault="002413B1">
      <w:pPr>
        <w:spacing w:after="160"/>
      </w:pPr>
      <w:r>
        <w:rPr>
          <w:i/>
          <w:color w:val="52606D"/>
          <w:sz w:val="21"/>
        </w:rPr>
        <w:t>The most important AI decisions were conventional software-engineering decisions.</w:t>
      </w:r>
    </w:p>
    <w:p w14:paraId="66F34931" w14:textId="77777777" w:rsidR="003C54A7" w:rsidRDefault="002413B1">
      <w:r>
        <w:t>The platform became extensible not because it used six personas, but because each responsibility gained a narrow boundary. Time-</w:t>
      </w:r>
      <w:proofErr w:type="gramStart"/>
      <w:r>
        <w:t>series</w:t>
      </w:r>
      <w:proofErr w:type="gramEnd"/>
      <w:r>
        <w:t xml:space="preserve"> financial data lives in a transactional system designed for its access pattern. Models operate through application-owned tools. Graph state is explicit. Governance is executable policy. Audit data is a product contract. Deployment and delivery are repeatable.</w:t>
      </w:r>
    </w:p>
    <w:p w14:paraId="1E4BC567" w14:textId="77777777" w:rsidR="003C54A7" w:rsidRDefault="002413B1">
      <w:r>
        <w:t>That framing changes the role of AI. The model is no longer an all-knowing service hidden behind one endpoint. It is one replaceable reasoning dependency inside a system that controls evidence, authority, state, cost, and failure. This is the difference between adding an LLM feature and engineering an AI platform.</w:t>
      </w:r>
    </w:p>
    <w:tbl>
      <w:tblPr>
        <w:tblW w:w="0" w:type="auto"/>
        <w:jc w:val="center"/>
        <w:tblLayout w:type="fixed"/>
        <w:tblLook w:val="04A0" w:firstRow="1" w:lastRow="0" w:firstColumn="1" w:lastColumn="0" w:noHBand="0" w:noVBand="1"/>
      </w:tblPr>
      <w:tblGrid>
        <w:gridCol w:w="280"/>
        <w:gridCol w:w="9756"/>
      </w:tblGrid>
      <w:tr w:rsidR="003C54A7" w14:paraId="573DA4BF" w14:textId="77777777" w:rsidTr="00C67922">
        <w:trPr>
          <w:jc w:val="center"/>
        </w:trPr>
        <w:tc>
          <w:tcPr>
            <w:tcW w:w="280" w:type="dxa"/>
            <w:shd w:val="clear" w:color="auto" w:fill="0078D4"/>
            <w:tcMar>
              <w:top w:w="100" w:type="dxa"/>
              <w:left w:w="130" w:type="dxa"/>
              <w:bottom w:w="100" w:type="dxa"/>
              <w:right w:w="130" w:type="dxa"/>
            </w:tcMar>
          </w:tcPr>
          <w:p w14:paraId="5BE0C9C5" w14:textId="77777777" w:rsidR="003C54A7" w:rsidRDefault="003C54A7"/>
        </w:tc>
        <w:tc>
          <w:tcPr>
            <w:tcW w:w="9756" w:type="dxa"/>
            <w:shd w:val="clear" w:color="auto" w:fill="EAF3FB"/>
            <w:tcMar>
              <w:top w:w="100" w:type="dxa"/>
              <w:left w:w="130" w:type="dxa"/>
              <w:bottom w:w="100" w:type="dxa"/>
              <w:right w:w="130" w:type="dxa"/>
            </w:tcMar>
            <w:vAlign w:val="center"/>
          </w:tcPr>
          <w:p w14:paraId="59A98419" w14:textId="77777777" w:rsidR="003C54A7" w:rsidRDefault="002413B1">
            <w:pPr>
              <w:pStyle w:val="Callout"/>
            </w:pPr>
            <w:r>
              <w:t xml:space="preserve">Architecture </w:t>
            </w:r>
            <w:proofErr w:type="gramStart"/>
            <w:r>
              <w:t xml:space="preserve">takeaway  </w:t>
            </w:r>
            <w:r>
              <w:rPr>
                <w:b w:val="0"/>
              </w:rPr>
              <w:t>Build</w:t>
            </w:r>
            <w:proofErr w:type="gramEnd"/>
            <w:r>
              <w:rPr>
                <w:b w:val="0"/>
              </w:rPr>
              <w:t xml:space="preserve"> deterministic foundations, expose narrow evidence contracts, add the minimum specialized reasoning roles, and make every autonomous step bounded and observable.</w:t>
            </w:r>
          </w:p>
        </w:tc>
      </w:tr>
    </w:tbl>
    <w:p w14:paraId="72E62247" w14:textId="77777777" w:rsidR="003C54A7" w:rsidRDefault="003C54A7">
      <w:pPr>
        <w:spacing w:after="0"/>
      </w:pPr>
    </w:p>
    <w:p w14:paraId="01BDF768" w14:textId="77777777" w:rsidR="003C54A7" w:rsidRDefault="002413B1">
      <w:pPr>
        <w:pStyle w:val="Heading2"/>
      </w:pPr>
      <w:r>
        <w:t>Explore the implementation</w:t>
      </w:r>
    </w:p>
    <w:p w14:paraId="6FC8FCC3" w14:textId="77777777" w:rsidR="003C54A7" w:rsidRDefault="002413B1">
      <w:r>
        <w:t>The complete source, architecture documentation, tests, Docker environment, dashboards, and release workflow are available in the public repository:</w:t>
      </w:r>
    </w:p>
    <w:p w14:paraId="0C95B696" w14:textId="77777777" w:rsidR="003C54A7" w:rsidRDefault="002413B1">
      <w:pPr>
        <w:jc w:val="center"/>
      </w:pPr>
      <w:r>
        <w:rPr>
          <w:b/>
          <w:sz w:val="24"/>
        </w:rPr>
        <w:t xml:space="preserve">GitHub </w:t>
      </w:r>
      <w:proofErr w:type="gramStart"/>
      <w:r>
        <w:rPr>
          <w:b/>
          <w:sz w:val="24"/>
        </w:rPr>
        <w:t>repository  →</w:t>
      </w:r>
      <w:proofErr w:type="gramEnd"/>
      <w:r>
        <w:rPr>
          <w:b/>
          <w:sz w:val="24"/>
        </w:rPr>
        <w:t xml:space="preserve">  </w:t>
      </w:r>
      <w:hyperlink r:id="rId12">
        <w:r>
          <w:rPr>
            <w:color w:val="0078D4"/>
            <w:u w:val="single"/>
          </w:rPr>
          <w:t>https://github.com/nk2242696/CostMonitoringMultiAgent</w:t>
        </w:r>
      </w:hyperlink>
    </w:p>
    <w:tbl>
      <w:tblPr>
        <w:tblStyle w:val="TableGrid"/>
        <w:tblW w:w="0" w:type="auto"/>
        <w:jc w:val="center"/>
        <w:tblLayout w:type="fixed"/>
        <w:tblLook w:val="04A0" w:firstRow="1" w:lastRow="0" w:firstColumn="1" w:lastColumn="0" w:noHBand="0" w:noVBand="1"/>
      </w:tblPr>
      <w:tblGrid>
        <w:gridCol w:w="2268"/>
        <w:gridCol w:w="7370"/>
      </w:tblGrid>
      <w:tr w:rsidR="003C54A7" w14:paraId="334A9C02" w14:textId="77777777">
        <w:trPr>
          <w:tblHeader/>
          <w:jc w:val="center"/>
        </w:trPr>
        <w:tc>
          <w:tcPr>
            <w:tcW w:w="2268" w:type="dxa"/>
            <w:shd w:val="clear" w:color="auto" w:fill="17365D"/>
            <w:tcMar>
              <w:top w:w="45" w:type="dxa"/>
              <w:left w:w="85" w:type="dxa"/>
              <w:bottom w:w="45" w:type="dxa"/>
              <w:right w:w="85" w:type="dxa"/>
            </w:tcMar>
          </w:tcPr>
          <w:p w14:paraId="668A58B4" w14:textId="77777777" w:rsidR="003C54A7" w:rsidRDefault="002413B1">
            <w:r>
              <w:rPr>
                <w:b/>
                <w:color w:val="FFFFFF"/>
              </w:rPr>
              <w:t>Project</w:t>
            </w:r>
          </w:p>
        </w:tc>
        <w:tc>
          <w:tcPr>
            <w:tcW w:w="7370" w:type="dxa"/>
            <w:shd w:val="clear" w:color="auto" w:fill="17365D"/>
            <w:tcMar>
              <w:top w:w="45" w:type="dxa"/>
              <w:left w:w="85" w:type="dxa"/>
              <w:bottom w:w="45" w:type="dxa"/>
              <w:right w:w="85" w:type="dxa"/>
            </w:tcMar>
          </w:tcPr>
          <w:p w14:paraId="6479E4C7" w14:textId="77777777" w:rsidR="003C54A7" w:rsidRDefault="002413B1">
            <w:r>
              <w:rPr>
                <w:b/>
                <w:color w:val="FFFFFF"/>
              </w:rPr>
              <w:t>Azure Cost Monitoring Multi-Agent Platform</w:t>
            </w:r>
          </w:p>
        </w:tc>
      </w:tr>
      <w:tr w:rsidR="003C54A7" w14:paraId="09A6D7B2" w14:textId="77777777">
        <w:trPr>
          <w:cantSplit/>
          <w:jc w:val="center"/>
        </w:trPr>
        <w:tc>
          <w:tcPr>
            <w:tcW w:w="2268" w:type="dxa"/>
            <w:tcMar>
              <w:top w:w="45" w:type="dxa"/>
              <w:left w:w="85" w:type="dxa"/>
              <w:bottom w:w="45" w:type="dxa"/>
              <w:right w:w="85" w:type="dxa"/>
            </w:tcMar>
          </w:tcPr>
          <w:p w14:paraId="504FB9EA" w14:textId="77777777" w:rsidR="003C54A7" w:rsidRDefault="002413B1">
            <w:r>
              <w:t>Architecture</w:t>
            </w:r>
          </w:p>
        </w:tc>
        <w:tc>
          <w:tcPr>
            <w:tcW w:w="7370" w:type="dxa"/>
            <w:tcMar>
              <w:top w:w="45" w:type="dxa"/>
              <w:left w:w="85" w:type="dxa"/>
              <w:bottom w:w="45" w:type="dxa"/>
              <w:right w:w="85" w:type="dxa"/>
            </w:tcMar>
          </w:tcPr>
          <w:p w14:paraId="1D9C20E6" w14:textId="77777777" w:rsidR="003C54A7" w:rsidRDefault="002413B1">
            <w:r>
              <w:t xml:space="preserve">Modular Python, </w:t>
            </w:r>
            <w:proofErr w:type="spellStart"/>
            <w:r>
              <w:t>FastAPI</w:t>
            </w:r>
            <w:proofErr w:type="spellEnd"/>
            <w:r>
              <w:t xml:space="preserve">, </w:t>
            </w:r>
            <w:proofErr w:type="spellStart"/>
            <w:r>
              <w:t>LangGraph</w:t>
            </w:r>
            <w:proofErr w:type="spellEnd"/>
            <w:r>
              <w:t>, PostgreSQL/</w:t>
            </w:r>
            <w:proofErr w:type="spellStart"/>
            <w:r>
              <w:t>TimescaleDB</w:t>
            </w:r>
            <w:proofErr w:type="spellEnd"/>
            <w:r>
              <w:t>, Prometheus, Grafana</w:t>
            </w:r>
          </w:p>
        </w:tc>
      </w:tr>
      <w:tr w:rsidR="003C54A7" w14:paraId="3A066506" w14:textId="77777777">
        <w:trPr>
          <w:cantSplit/>
          <w:jc w:val="center"/>
        </w:trPr>
        <w:tc>
          <w:tcPr>
            <w:tcW w:w="2268" w:type="dxa"/>
            <w:shd w:val="clear" w:color="auto" w:fill="F3F5F7"/>
            <w:tcMar>
              <w:top w:w="45" w:type="dxa"/>
              <w:left w:w="85" w:type="dxa"/>
              <w:bottom w:w="45" w:type="dxa"/>
              <w:right w:w="85" w:type="dxa"/>
            </w:tcMar>
          </w:tcPr>
          <w:p w14:paraId="60AD8DB8" w14:textId="77777777" w:rsidR="003C54A7" w:rsidRDefault="002413B1">
            <w:r>
              <w:t>Operating model</w:t>
            </w:r>
          </w:p>
        </w:tc>
        <w:tc>
          <w:tcPr>
            <w:tcW w:w="7370" w:type="dxa"/>
            <w:shd w:val="clear" w:color="auto" w:fill="F3F5F7"/>
            <w:tcMar>
              <w:top w:w="45" w:type="dxa"/>
              <w:left w:w="85" w:type="dxa"/>
              <w:bottom w:w="45" w:type="dxa"/>
              <w:right w:w="85" w:type="dxa"/>
            </w:tcMar>
          </w:tcPr>
          <w:p w14:paraId="7D22C5AC" w14:textId="77777777" w:rsidR="003C54A7" w:rsidRDefault="002413B1">
            <w:r>
              <w:t>Read-only investigation and human-approved proposals</w:t>
            </w:r>
          </w:p>
        </w:tc>
      </w:tr>
      <w:tr w:rsidR="003C54A7" w14:paraId="2C34A006" w14:textId="77777777">
        <w:trPr>
          <w:cantSplit/>
          <w:jc w:val="center"/>
        </w:trPr>
        <w:tc>
          <w:tcPr>
            <w:tcW w:w="2268" w:type="dxa"/>
            <w:tcMar>
              <w:top w:w="45" w:type="dxa"/>
              <w:left w:w="85" w:type="dxa"/>
              <w:bottom w:w="45" w:type="dxa"/>
              <w:right w:w="85" w:type="dxa"/>
            </w:tcMar>
          </w:tcPr>
          <w:p w14:paraId="225E75AB" w14:textId="77777777" w:rsidR="003C54A7" w:rsidRDefault="002413B1">
            <w:r>
              <w:t>Deployment</w:t>
            </w:r>
          </w:p>
        </w:tc>
        <w:tc>
          <w:tcPr>
            <w:tcW w:w="7370" w:type="dxa"/>
            <w:tcMar>
              <w:top w:w="45" w:type="dxa"/>
              <w:left w:w="85" w:type="dxa"/>
              <w:bottom w:w="45" w:type="dxa"/>
              <w:right w:w="85" w:type="dxa"/>
            </w:tcMar>
          </w:tcPr>
          <w:p w14:paraId="1CD4D679" w14:textId="77777777" w:rsidR="003C54A7" w:rsidRDefault="002413B1">
            <w:r>
              <w:t>Docker-first reference stack with semantic release automation</w:t>
            </w:r>
          </w:p>
        </w:tc>
      </w:tr>
      <w:tr w:rsidR="003C54A7" w14:paraId="28F476E9" w14:textId="77777777">
        <w:trPr>
          <w:cantSplit/>
          <w:jc w:val="center"/>
        </w:trPr>
        <w:tc>
          <w:tcPr>
            <w:tcW w:w="2268" w:type="dxa"/>
            <w:shd w:val="clear" w:color="auto" w:fill="F3F5F7"/>
            <w:tcMar>
              <w:top w:w="45" w:type="dxa"/>
              <w:left w:w="85" w:type="dxa"/>
              <w:bottom w:w="45" w:type="dxa"/>
              <w:right w:w="85" w:type="dxa"/>
            </w:tcMar>
          </w:tcPr>
          <w:p w14:paraId="79EBC544" w14:textId="77777777" w:rsidR="003C54A7" w:rsidRDefault="002413B1">
            <w:r>
              <w:t>Author</w:t>
            </w:r>
          </w:p>
        </w:tc>
        <w:tc>
          <w:tcPr>
            <w:tcW w:w="7370" w:type="dxa"/>
            <w:shd w:val="clear" w:color="auto" w:fill="F3F5F7"/>
            <w:tcMar>
              <w:top w:w="45" w:type="dxa"/>
              <w:left w:w="85" w:type="dxa"/>
              <w:bottom w:w="45" w:type="dxa"/>
              <w:right w:w="85" w:type="dxa"/>
            </w:tcMar>
          </w:tcPr>
          <w:p w14:paraId="64FBBFA8" w14:textId="77777777" w:rsidR="003C54A7" w:rsidRDefault="002413B1">
            <w:r>
              <w:t>Nikhil Kumar</w:t>
            </w:r>
          </w:p>
        </w:tc>
      </w:tr>
    </w:tbl>
    <w:p w14:paraId="45828B2E" w14:textId="77777777" w:rsidR="002413B1" w:rsidRDefault="002413B1"/>
    <w:sectPr w:rsidR="002413B1" w:rsidSect="00034616">
      <w:headerReference w:type="default" r:id="rId13"/>
      <w:footerReference w:type="default" r:id="rId14"/>
      <w:pgSz w:w="11906" w:h="16838"/>
      <w:pgMar w:top="850" w:right="935" w:bottom="794"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4F325" w14:textId="77777777" w:rsidR="00574F3E" w:rsidRDefault="00574F3E">
      <w:pPr>
        <w:spacing w:after="0"/>
      </w:pPr>
      <w:r>
        <w:separator/>
      </w:r>
    </w:p>
  </w:endnote>
  <w:endnote w:type="continuationSeparator" w:id="0">
    <w:p w14:paraId="268BBA7D" w14:textId="77777777" w:rsidR="00574F3E" w:rsidRDefault="00574F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0889" w14:textId="77777777" w:rsidR="003C54A7" w:rsidRDefault="002413B1">
    <w:pPr>
      <w:pStyle w:val="Footer"/>
      <w:jc w:val="center"/>
    </w:pPr>
    <w:r>
      <w:rPr>
        <w:color w:val="6B7785"/>
        <w:sz w:val="16"/>
      </w:rPr>
      <w:t xml:space="preserve">Page </w:t>
    </w:r>
    <w:r>
      <w:rPr>
        <w:color w:val="6B7785"/>
        <w:sz w:val="16"/>
      </w:rPr>
      <w:fldChar w:fldCharType="begin"/>
    </w:r>
    <w:r>
      <w:rPr>
        <w:color w:val="6B7785"/>
        <w:sz w:val="16"/>
      </w:rPr>
      <w:instrText>PAGE</w:instrText>
    </w:r>
    <w:r>
      <w:rPr>
        <w:color w:val="6B7785"/>
        <w:sz w:val="16"/>
      </w:rPr>
      <w:fldChar w:fldCharType="separate"/>
    </w:r>
    <w:r>
      <w:rPr>
        <w:color w:val="6B7785"/>
        <w:sz w:val="16"/>
      </w:rPr>
      <w:t>Update field in Microsoft Word</w:t>
    </w:r>
    <w:r>
      <w:rPr>
        <w:color w:val="6B77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8228" w14:textId="77777777" w:rsidR="00574F3E" w:rsidRDefault="00574F3E">
      <w:pPr>
        <w:spacing w:after="0"/>
      </w:pPr>
      <w:r>
        <w:separator/>
      </w:r>
    </w:p>
  </w:footnote>
  <w:footnote w:type="continuationSeparator" w:id="0">
    <w:p w14:paraId="5EB8816C" w14:textId="77777777" w:rsidR="00574F3E" w:rsidRDefault="00574F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2042" w14:textId="77777777" w:rsidR="003C54A7" w:rsidRDefault="002413B1">
    <w:pPr>
      <w:pStyle w:val="Header"/>
      <w:jc w:val="right"/>
    </w:pPr>
    <w:r>
      <w:rPr>
        <w:color w:val="6B7785"/>
        <w:sz w:val="15"/>
      </w:rPr>
      <w:t xml:space="preserve">AZURE COST MONITORING MULTI-AGENT </w:t>
    </w:r>
    <w:proofErr w:type="gramStart"/>
    <w:r>
      <w:rPr>
        <w:color w:val="6B7785"/>
        <w:sz w:val="15"/>
      </w:rPr>
      <w:t>PLATFORM  |</w:t>
    </w:r>
    <w:proofErr w:type="gramEnd"/>
    <w:r>
      <w:rPr>
        <w:color w:val="6B7785"/>
        <w:sz w:val="15"/>
      </w:rPr>
      <w:t xml:space="preserve">  ARCHITECTURE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025384">
    <w:abstractNumId w:val="8"/>
  </w:num>
  <w:num w:numId="2" w16cid:durableId="1455169458">
    <w:abstractNumId w:val="6"/>
  </w:num>
  <w:num w:numId="3" w16cid:durableId="250435668">
    <w:abstractNumId w:val="5"/>
  </w:num>
  <w:num w:numId="4" w16cid:durableId="1722483761">
    <w:abstractNumId w:val="4"/>
  </w:num>
  <w:num w:numId="5" w16cid:durableId="1745957585">
    <w:abstractNumId w:val="7"/>
  </w:num>
  <w:num w:numId="6" w16cid:durableId="502010693">
    <w:abstractNumId w:val="3"/>
  </w:num>
  <w:num w:numId="7" w16cid:durableId="1928952670">
    <w:abstractNumId w:val="2"/>
  </w:num>
  <w:num w:numId="8" w16cid:durableId="929778230">
    <w:abstractNumId w:val="1"/>
  </w:num>
  <w:num w:numId="9" w16cid:durableId="212133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00"/>
    <w:rsid w:val="0015074B"/>
    <w:rsid w:val="002413B1"/>
    <w:rsid w:val="0029639D"/>
    <w:rsid w:val="00326F90"/>
    <w:rsid w:val="003C54A7"/>
    <w:rsid w:val="00574F3E"/>
    <w:rsid w:val="006C482D"/>
    <w:rsid w:val="00827E6B"/>
    <w:rsid w:val="00A01EAF"/>
    <w:rsid w:val="00AA1D8D"/>
    <w:rsid w:val="00B47730"/>
    <w:rsid w:val="00C67922"/>
    <w:rsid w:val="00CB0664"/>
    <w:rsid w:val="00D73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87D7C6"/>
  <w14:defaultImageDpi w14:val="300"/>
  <w15:docId w15:val="{BAB53261-3BF9-424E-8ED9-D136A16F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Segoe UI" w:hAnsi="Segoe UI"/>
      <w:color w:val="243447"/>
      <w:sz w:val="2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contextualSpacing/>
    </w:pPr>
    <w:rPr>
      <w:rFonts w:asciiTheme="majorHAnsi" w:eastAsiaTheme="majorEastAsia" w:hAnsiTheme="majorHAnsi" w:cstheme="majorBidi"/>
      <w:b/>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0078D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Caption">
    <w:name w:val="Portfolio Caption"/>
    <w:basedOn w:val="Caption"/>
    <w:rPr>
      <w:b w:val="0"/>
      <w:color w:val="52606D"/>
      <w:sz w:val="17"/>
    </w:rPr>
  </w:style>
  <w:style w:type="paragraph" w:customStyle="1" w:styleId="Callout">
    <w:name w:val="Callout"/>
    <w:basedOn w:val="Normal"/>
    <w:rPr>
      <w:b/>
      <w:color w:val="17365D"/>
      <w:sz w:val="19"/>
    </w:rPr>
  </w:style>
  <w:style w:type="paragraph" w:customStyle="1" w:styleId="CodeText">
    <w:name w:val="Code Text"/>
    <w:basedOn w:val="Normal"/>
    <w:rPr>
      <w:rFonts w:ascii="Cascadia Mono" w:hAnsi="Cascadia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k2242696/CostMonitoringMultiAgen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k2242696/CostMonitoringMultiAge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Governed Multi-Agent FinOps Platform</dc:title>
  <dc:subject>Senior-engineering architecture article</dc:subject>
  <dc:creator>Nikhil Kumar</dc:creator>
  <cp:keywords>Azure, FinOps, architecture, multi-agent, LangGraph, TimescaleDB, modularity</cp:keywords>
  <dc:description>generated by python-docx</dc:description>
  <cp:lastModifiedBy>Nikhil Kumar</cp:lastModifiedBy>
  <cp:revision>5</cp:revision>
  <dcterms:created xsi:type="dcterms:W3CDTF">2013-12-23T23:15:00Z</dcterms:created>
  <dcterms:modified xsi:type="dcterms:W3CDTF">2026-07-27T18:54:00Z</dcterms:modified>
  <cp:category/>
</cp:coreProperties>
</file>