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2937"/>
          <w:sz w:val="40"/>
          <w:szCs w:val="40"/>
        </w:rPr>
        <w:t xml:space="preserve">Building a Governed Multi-Agent FinOps Platform</w:t>
      </w:r>
    </w:p>
    <w:p>
      <w:pPr>
        <w:spacing w:after="60"/>
      </w:pPr>
      <w:r>
        <w:rPr>
          <w:color w:val="6B7280"/>
          <w:sz w:val="20"/>
          <w:szCs w:val="20"/>
        </w:rPr>
        <w:t xml:space="preserve">2026-07-28  ·  10 min read</w:t>
      </w:r>
    </w:p>
    <w:p>
      <w:pPr>
        <w:spacing w:after="240"/>
      </w:pPr>
      <w:r>
        <w:rPr>
          <w:i/>
          <w:iCs/>
          <w:color w:val="2C5F8A"/>
          <w:sz w:val="19"/>
          <w:szCs w:val="19"/>
        </w:rPr>
        <w:t xml:space="preserve">FinOps  ·  Multi-Agent AI  ·  Azure  ·  Cloud Architecture  ·  AI Governance</w:t>
      </w:r>
    </w:p>
    <w:p>
      <w:pPr>
        <w:spacing w:after="200"/>
      </w:pPr>
      <w:r>
        <w:rPr>
          <w:b/>
          <w:bCs/>
          <w:color w:val="1F2937"/>
          <w:sz w:val="24"/>
          <w:szCs w:val="24"/>
        </w:rPr>
        <w:t xml:space="preserve">How modular boundaries, time-series data, specialized AI personas, and human governance turn cloud cost data into an extensible engineering platform</w:t>
      </w:r>
    </w:p>
    <w:p>
      <w:pPr>
        <w:spacing w:after="300"/>
      </w:pPr>
      <w:r>
        <w:rPr>
          <w:b/>
          <w:bCs/>
          <w:sz w:val="22"/>
          <w:szCs w:val="22"/>
        </w:rPr>
        <w:t xml:space="preserve">GitHub: </w:t>
      </w:r>
      <w:hyperlink w:history="1" r:id="rIdtxpr1vt6pvx-5dp0yrlre">
        <w:r>
          <w:rPr>
            <w:rStyle w:val="Hyperlink"/>
            <w:sz w:val="22"/>
            <w:szCs w:val="22"/>
          </w:rPr>
          <w:t xml:space="preserve">github.com/nk2242696/CostMonitoringMultiAgent</w:t>
        </w:r>
      </w:hyperlink>
    </w:p>
    <w:p>
      <w:pPr>
        <w:spacing w:after="100"/>
        <w:jc w:val="center"/>
      </w:pPr>
      <w:r>
        <w:drawing>
          <wp:inline distT="0" distB="0" distL="0" distR="0">
            <wp:extent cx="471487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14875" cy="2752725"/>
                    </a:xfrm>
                    <a:prstGeom prst="rect">
                      <a:avLst/>
                    </a:prstGeom>
                  </pic:spPr>
                </pic:pic>
              </a:graphicData>
            </a:graphic>
          </wp:inline>
        </w:drawing>
      </w:r>
    </w:p>
    <w:p>
      <w:pPr>
        <w:spacing w:after="260"/>
        <w:jc w:val="center"/>
      </w:pPr>
      <w:r>
        <w:rPr>
          <w:i/>
          <w:iCs/>
          <w:color w:val="6B7280"/>
          <w:sz w:val="19"/>
          <w:szCs w:val="19"/>
        </w:rPr>
        <w:t xml:space="preserve">High-level architecture: evidence flows inward; governed decisions flow outward.</w:t>
      </w:r>
    </w:p>
    <w:tbl>
      <w:tblPr>
        <w:tblW w:type="pct" w:w="100%"/>
        <w:tblBorders>
          <w:top w:val="single" w:color="2C5F8A" w:sz="4"/>
          <w:left w:val="single" w:color="C9CED6" w:sz="4"/>
          <w:bottom w:val="single" w:color="C9CED6" w:sz="4"/>
          <w:right w:val="single" w:color="C9CED6" w:sz="4"/>
          <w:insideH w:val="none" w:color="FFFFFF" w:sz="0"/>
          <w:insideV w:val="none" w:color="FFFFFF" w:sz="0"/>
        </w:tblBorders>
      </w:tblPr>
      <w:tblGrid>
        <w:gridCol w:w="100"/>
      </w:tblGrid>
      <w:tr>
        <w:tc>
          <w:tcPr>
            <w:shd w:fill="EEF2F6" w:color="auto" w:val="clear"/>
            <w:tcMar>
              <w:top w:type="dxa" w:w="180"/>
              <w:left w:type="dxa" w:w="220"/>
              <w:bottom w:type="dxa" w:w="180"/>
              <w:right w:type="dxa" w:w="220"/>
            </w:tcMar>
          </w:tcPr>
          <w:p>
            <w:pPr>
              <w:spacing w:after="60"/>
            </w:pPr>
            <w:r>
              <w:rPr>
                <w:b/>
                <w:bCs/>
                <w:color w:val="2C5F8A"/>
                <w:sz w:val="21"/>
                <w:szCs w:val="21"/>
              </w:rPr>
              <w:t xml:space="preserve">The short version</w:t>
            </w:r>
          </w:p>
          <w:p>
            <w:r>
              <w:rPr>
                <w:color w:val="26282C"/>
                <w:sz w:val="21"/>
                <w:szCs w:val="21"/>
              </w:rPr>
              <w:t xml:space="preserve">Treat AI as a reasoning layer over trusted FinOps evidence — not as the database, calculator, policy engine, or cloud executor. The interesting engineering decision is not where to call the model, but which responsibilities must stay deterministic and where probabilistic reasoning actually adds value.</w:t>
            </w:r>
          </w:p>
        </w:tc>
      </w:tr>
    </w:tbl>
    <w:p>
      <w:pPr>
        <w:spacing w:after="300"/>
      </w:pPr>
    </w:p>
    <w:p>
      <w:pPr>
        <w:pStyle w:val="Heading1"/>
        <w:pBdr>
          <w:bottom w:val="single" w:color="C9CED6" w:sz="6" w:space="4"/>
        </w:pBdr>
        <w:spacing w:after="160" w:before="420"/>
      </w:pPr>
      <w:r>
        <w:rPr>
          <w:b/>
          <w:bCs/>
          <w:color w:val="1F2937"/>
          <w:sz w:val="30"/>
          <w:szCs w:val="30"/>
        </w:rPr>
        <w:t xml:space="preserve">Why a cost dashboard becomes an architecture problem</w:t>
      </w:r>
    </w:p>
    <w:p>
      <w:pPr>
        <w:spacing w:after="200"/>
      </w:pPr>
      <w:r>
        <w:rPr>
          <w:color w:val="26282C"/>
          <w:sz w:val="22"/>
          <w:szCs w:val="22"/>
        </w:rPr>
        <w:t xml:space="preserve">Cloud cost platforms begin simply: ingest billing data, calculate totals, and draw a dashboard. The complexity arrives later, when users start asking higher-order questions — why did spend move, which resource is responsible, whether a recommendation is safe to act on, and who should approve it. Those questions don't stay inside one layer. They cross data, architecture, risk, and communication boundaries at once.</w:t>
      </w:r>
    </w:p>
    <w:p>
      <w:pPr>
        <w:spacing w:after="200"/>
      </w:pPr>
      <w:r>
        <w:rPr>
          <w:color w:val="26282C"/>
          <w:sz w:val="22"/>
          <w:szCs w:val="22"/>
        </w:rPr>
        <w:t xml:space="preserve">A single service can answer all of them for a prototype. At scale that design produces hidden coupling: collection code starts knowing about dashboard schemas, AI prompts start knowing about database tables, schedulers accumulate business rules, and every provider change forces a cross-cutting rewrite. Nothing has a narrow contract, so nothing is easy to test in isolation.</w:t>
      </w:r>
    </w:p>
    <w:p>
      <w:pPr>
        <w:spacing w:after="200"/>
      </w:pPr>
      <w:r>
        <w:rPr>
          <w:color w:val="26282C"/>
          <w:sz w:val="22"/>
          <w:szCs w:val="22"/>
        </w:rPr>
        <w:t xml:space="preserve">The design in this platform starts from boundaries, not technology choices. Collection produces canonical evidence. Domain services calculate financial facts. Agents coordinate investigation. Governance evaluates proposals. APIs and dashboards present outcomes. Infrastructure exists to make those modules repeatable and observable — nothing more.</w:t>
      </w:r>
    </w:p>
    <w:tbl>
      <w:tblPr>
        <w:tblW w:type="dxa" w:w="9360"/>
        <w:tblBorders>
          <w:top w:val="single" w:color="C9CED6" w:sz="2"/>
          <w:left w:val="single" w:color="C9CED6" w:sz="2"/>
          <w:bottom w:val="single" w:color="C9CED6" w:sz="2"/>
          <w:right w:val="single" w:color="C9CED6" w:sz="2"/>
          <w:insideH w:val="single" w:color="C9CED6" w:sz="2"/>
          <w:insideV w:val="single" w:color="C9CED6" w:sz="2"/>
        </w:tblBorders>
      </w:tblPr>
      <w:tblGrid>
        <w:gridCol w:w="3000"/>
        <w:gridCol w:w="6360"/>
      </w:tblGrid>
      <w:tr>
        <w:trPr>
          <w:tblHeader/>
        </w:trPr>
        <w:tc>
          <w:tcPr>
            <w:tcW w:type="dxa" w:w="3000"/>
            <w:shd w:fill="1F2937" w:color="auto" w:val="clear"/>
            <w:tcMar>
              <w:top w:type="dxa" w:w="120"/>
              <w:left w:type="dxa" w:w="160"/>
              <w:bottom w:type="dxa" w:w="120"/>
              <w:right w:type="dxa" w:w="160"/>
            </w:tcMar>
          </w:tcPr>
          <w:p>
            <w:pPr>
              <w:spacing w:after="0"/>
            </w:pPr>
            <w:r>
              <w:rPr>
                <w:b/>
                <w:bCs/>
                <w:color w:val="FFFFFF"/>
                <w:sz w:val="20"/>
                <w:szCs w:val="20"/>
              </w:rPr>
              <w:t xml:space="preserve">Architectural concern</w:t>
            </w:r>
          </w:p>
        </w:tc>
        <w:tc>
          <w:tcPr>
            <w:tcW w:type="dxa" w:w="6360"/>
            <w:shd w:fill="1F2937" w:color="auto" w:val="clear"/>
            <w:tcMar>
              <w:top w:type="dxa" w:w="120"/>
              <w:left w:type="dxa" w:w="160"/>
              <w:bottom w:type="dxa" w:w="120"/>
              <w:right w:type="dxa" w:w="160"/>
            </w:tcMar>
          </w:tcPr>
          <w:p>
            <w:pPr>
              <w:spacing w:after="0"/>
            </w:pPr>
            <w:r>
              <w:rPr>
                <w:b/>
                <w:bCs/>
                <w:color w:val="FFFFFF"/>
                <w:sz w:val="20"/>
                <w:szCs w:val="20"/>
              </w:rPr>
              <w:t xml:space="preserve">Decision</w:t>
            </w:r>
          </w:p>
        </w:tc>
      </w:tr>
      <w:tr>
        <w:tc>
          <w:tcPr>
            <w:tcW w:type="dxa" w:w="3000"/>
            <w:tcMar>
              <w:top w:type="dxa" w:w="120"/>
              <w:left w:type="dxa" w:w="160"/>
              <w:bottom w:type="dxa" w:w="120"/>
              <w:right w:type="dxa" w:w="160"/>
            </w:tcMar>
          </w:tcPr>
          <w:p>
            <w:pPr>
              <w:spacing w:after="0"/>
            </w:pPr>
            <w:r>
              <w:rPr>
                <w:b w:val="false"/>
                <w:bCs w:val="false"/>
                <w:color w:val="26282C"/>
                <w:sz w:val="20"/>
                <w:szCs w:val="20"/>
              </w:rPr>
              <w:t xml:space="preserve">Financial correctness</w:t>
            </w:r>
          </w:p>
        </w:tc>
        <w:tc>
          <w:tcPr>
            <w:tcW w:type="dxa" w:w="6360"/>
            <w:tcMar>
              <w:top w:type="dxa" w:w="120"/>
              <w:left w:type="dxa" w:w="160"/>
              <w:bottom w:type="dxa" w:w="120"/>
              <w:right w:type="dxa" w:w="160"/>
            </w:tcMar>
          </w:tcPr>
          <w:p>
            <w:pPr>
              <w:spacing w:after="0"/>
            </w:pPr>
            <w:r>
              <w:rPr>
                <w:b w:val="false"/>
                <w:bCs w:val="false"/>
                <w:color w:val="26282C"/>
                <w:sz w:val="20"/>
                <w:szCs w:val="20"/>
              </w:rPr>
              <w:t xml:space="preserve">Keep totals, budgets, forecasts, and reference savings deterministic and testable.</w:t>
            </w:r>
          </w:p>
        </w:tc>
      </w:tr>
      <w:tr>
        <w:tc>
          <w:tcPr>
            <w:tcW w:type="dxa" w:w="3000"/>
            <w:shd w:fill="F7F8FA" w:color="auto" w:val="clear"/>
            <w:tcMar>
              <w:top w:type="dxa" w:w="120"/>
              <w:left w:type="dxa" w:w="160"/>
              <w:bottom w:type="dxa" w:w="120"/>
              <w:right w:type="dxa" w:w="160"/>
            </w:tcMar>
          </w:tcPr>
          <w:p>
            <w:pPr>
              <w:spacing w:after="0"/>
            </w:pPr>
            <w:r>
              <w:rPr>
                <w:b w:val="false"/>
                <w:bCs w:val="false"/>
                <w:color w:val="26282C"/>
                <w:sz w:val="20"/>
                <w:szCs w:val="20"/>
              </w:rPr>
              <w:t xml:space="preserve">Ambiguous investigation</w:t>
            </w:r>
          </w:p>
        </w:tc>
        <w:tc>
          <w:tcPr>
            <w:tcW w:type="dxa" w:w="6360"/>
            <w:shd w:fill="F7F8FA" w:color="auto" w:val="clear"/>
            <w:tcMar>
              <w:top w:type="dxa" w:w="120"/>
              <w:left w:type="dxa" w:w="160"/>
              <w:bottom w:type="dxa" w:w="120"/>
              <w:right w:type="dxa" w:w="160"/>
            </w:tcMar>
          </w:tcPr>
          <w:p>
            <w:pPr>
              <w:spacing w:after="0"/>
            </w:pPr>
            <w:r>
              <w:rPr>
                <w:b w:val="false"/>
                <w:bCs w:val="false"/>
                <w:color w:val="26282C"/>
                <w:sz w:val="20"/>
                <w:szCs w:val="20"/>
              </w:rPr>
              <w:t xml:space="preserve">Use specialized agents to select evidence, reconcile findings, and explain trade-offs.</w:t>
            </w:r>
          </w:p>
        </w:tc>
      </w:tr>
      <w:tr>
        <w:tc>
          <w:tcPr>
            <w:tcW w:type="dxa" w:w="3000"/>
            <w:tcMar>
              <w:top w:type="dxa" w:w="120"/>
              <w:left w:type="dxa" w:w="160"/>
              <w:bottom w:type="dxa" w:w="120"/>
              <w:right w:type="dxa" w:w="160"/>
            </w:tcMar>
          </w:tcPr>
          <w:p>
            <w:pPr>
              <w:spacing w:after="0"/>
            </w:pPr>
            <w:r>
              <w:rPr>
                <w:b w:val="false"/>
                <w:bCs w:val="false"/>
                <w:color w:val="26282C"/>
                <w:sz w:val="20"/>
                <w:szCs w:val="20"/>
              </w:rPr>
              <w:t xml:space="preserve">Operational safety</w:t>
            </w:r>
          </w:p>
        </w:tc>
        <w:tc>
          <w:tcPr>
            <w:tcW w:type="dxa" w:w="6360"/>
            <w:tcMar>
              <w:top w:type="dxa" w:w="120"/>
              <w:left w:type="dxa" w:w="160"/>
              <w:bottom w:type="dxa" w:w="120"/>
              <w:right w:type="dxa" w:w="160"/>
            </w:tcMar>
          </w:tcPr>
          <w:p>
            <w:pPr>
              <w:spacing w:after="0"/>
            </w:pPr>
            <w:r>
              <w:rPr>
                <w:b w:val="false"/>
                <w:bCs w:val="false"/>
                <w:color w:val="26282C"/>
                <w:sz w:val="20"/>
                <w:szCs w:val="20"/>
              </w:rPr>
              <w:t xml:space="preserve">Make tools read-only and require human approval for every proposal.</w:t>
            </w:r>
          </w:p>
        </w:tc>
      </w:tr>
      <w:tr>
        <w:tc>
          <w:tcPr>
            <w:tcW w:type="dxa" w:w="3000"/>
            <w:shd w:fill="F7F8FA" w:color="auto" w:val="clear"/>
            <w:tcMar>
              <w:top w:type="dxa" w:w="120"/>
              <w:left w:type="dxa" w:w="160"/>
              <w:bottom w:type="dxa" w:w="120"/>
              <w:right w:type="dxa" w:w="160"/>
            </w:tcMar>
          </w:tcPr>
          <w:p>
            <w:pPr>
              <w:spacing w:after="0"/>
            </w:pPr>
            <w:r>
              <w:rPr>
                <w:b w:val="false"/>
                <w:bCs w:val="false"/>
                <w:color w:val="26282C"/>
                <w:sz w:val="20"/>
                <w:szCs w:val="20"/>
              </w:rPr>
              <w:t xml:space="preserve">Evolution</w:t>
            </w:r>
          </w:p>
        </w:tc>
        <w:tc>
          <w:tcPr>
            <w:tcW w:type="dxa" w:w="6360"/>
            <w:shd w:fill="F7F8FA" w:color="auto" w:val="clear"/>
            <w:tcMar>
              <w:top w:type="dxa" w:w="120"/>
              <w:left w:type="dxa" w:w="160"/>
              <w:bottom w:type="dxa" w:w="120"/>
              <w:right w:type="dxa" w:w="160"/>
            </w:tcMar>
          </w:tcPr>
          <w:p>
            <w:pPr>
              <w:spacing w:after="0"/>
            </w:pPr>
            <w:r>
              <w:rPr>
                <w:b w:val="false"/>
                <w:bCs w:val="false"/>
                <w:color w:val="26282C"/>
                <w:sz w:val="20"/>
                <w:szCs w:val="20"/>
              </w:rPr>
              <w:t xml:space="preserve">Connect modules through typed contracts and repositories rather than implementation details.</w:t>
            </w:r>
          </w:p>
        </w:tc>
      </w:tr>
    </w:tbl>
    <w:p>
      <w:pPr>
        <w:spacing w:after="300"/>
      </w:pPr>
    </w:p>
    <w:p>
      <w:pPr>
        <w:pStyle w:val="Heading1"/>
        <w:pBdr>
          <w:bottom w:val="single" w:color="C9CED6" w:sz="6" w:space="4"/>
        </w:pBdr>
        <w:spacing w:after="160" w:before="420"/>
      </w:pPr>
      <w:r>
        <w:rPr>
          <w:b/>
          <w:bCs/>
          <w:color w:val="1F2937"/>
          <w:sz w:val="30"/>
          <w:szCs w:val="30"/>
        </w:rPr>
        <w:t xml:space="preserve">A modular core keeps change local</w:t>
      </w:r>
    </w:p>
    <w:p>
      <w:pPr>
        <w:spacing w:after="200"/>
      </w:pPr>
      <w:r>
        <w:rPr>
          <w:color w:val="26282C"/>
          <w:sz w:val="22"/>
          <w:szCs w:val="22"/>
        </w:rPr>
        <w:t xml:space="preserve">A senior architecture optimizes for the cost of the next change, not just the first release. In this platform, ownership is split along the lines a team would actually need to change independently: Azure integration owns authentication and API translation; the monitoring domain owns costs, budgets, and forecasts; the agent runtime owns planning, evidence requests, and governance; persistence owns repository contracts and audit; the API layer owns transport and response contracts; observability owns metrics and dashboards. Each of those maps directly onto a top-level package in the repository (src/collection, src/monitoring, src/agents, and so on), so the module boundary on paper is the same one enforced by the import graph.</w:t>
      </w:r>
    </w:p>
    <w:tbl>
      <w:tblPr>
        <w:tblW w:type="dxa" w:w="9360"/>
        <w:tblBorders>
          <w:top w:val="single" w:color="C9CED6" w:sz="2"/>
          <w:left w:val="single" w:color="C9CED6" w:sz="2"/>
          <w:bottom w:val="single" w:color="C9CED6" w:sz="2"/>
          <w:right w:val="single" w:color="C9CED6" w:sz="2"/>
          <w:insideH w:val="single" w:color="C9CED6" w:sz="2"/>
          <w:insideV w:val="single" w:color="C9CED6" w:sz="2"/>
        </w:tblBorders>
      </w:tblPr>
      <w:tblGrid>
        <w:gridCol w:w="2200"/>
        <w:gridCol w:w="3800"/>
        <w:gridCol w:w="3360"/>
      </w:tblGrid>
      <w:tr>
        <w:trPr>
          <w:tblHeader/>
        </w:trPr>
        <w:tc>
          <w:tcPr>
            <w:tcW w:type="dxa" w:w="2200"/>
            <w:shd w:fill="1F2937" w:color="auto" w:val="clear"/>
            <w:tcMar>
              <w:top w:type="dxa" w:w="120"/>
              <w:left w:type="dxa" w:w="160"/>
              <w:bottom w:type="dxa" w:w="120"/>
              <w:right w:type="dxa" w:w="160"/>
            </w:tcMar>
          </w:tcPr>
          <w:p>
            <w:pPr>
              <w:spacing w:after="0"/>
            </w:pPr>
            <w:r>
              <w:rPr>
                <w:b/>
                <w:bCs/>
                <w:color w:val="FFFFFF"/>
                <w:sz w:val="20"/>
                <w:szCs w:val="20"/>
              </w:rPr>
              <w:t xml:space="preserve">Module</w:t>
            </w:r>
          </w:p>
        </w:tc>
        <w:tc>
          <w:tcPr>
            <w:tcW w:type="dxa" w:w="3800"/>
            <w:shd w:fill="1F2937" w:color="auto" w:val="clear"/>
            <w:tcMar>
              <w:top w:type="dxa" w:w="120"/>
              <w:left w:type="dxa" w:w="160"/>
              <w:bottom w:type="dxa" w:w="120"/>
              <w:right w:type="dxa" w:w="160"/>
            </w:tcMar>
          </w:tcPr>
          <w:p>
            <w:pPr>
              <w:spacing w:after="0"/>
            </w:pPr>
            <w:r>
              <w:rPr>
                <w:b/>
                <w:bCs/>
                <w:color w:val="FFFFFF"/>
                <w:sz w:val="20"/>
                <w:szCs w:val="20"/>
              </w:rPr>
              <w:t xml:space="preserve">Owns</w:t>
            </w:r>
          </w:p>
        </w:tc>
        <w:tc>
          <w:tcPr>
            <w:tcW w:type="dxa" w:w="3360"/>
            <w:shd w:fill="1F2937" w:color="auto" w:val="clear"/>
            <w:tcMar>
              <w:top w:type="dxa" w:w="120"/>
              <w:left w:type="dxa" w:w="160"/>
              <w:bottom w:type="dxa" w:w="120"/>
              <w:right w:type="dxa" w:w="160"/>
            </w:tcMar>
          </w:tcPr>
          <w:p>
            <w:pPr>
              <w:spacing w:after="0"/>
            </w:pPr>
            <w:r>
              <w:rPr>
                <w:b/>
                <w:bCs/>
                <w:color w:val="FFFFFF"/>
                <w:sz w:val="20"/>
                <w:szCs w:val="20"/>
              </w:rPr>
              <w:t xml:space="preserve">Can change without rewriting</w:t>
            </w:r>
          </w:p>
        </w:tc>
      </w:tr>
      <w:tr>
        <w:tc>
          <w:tcPr>
            <w:tcW w:type="dxa" w:w="2200"/>
            <w:tcMar>
              <w:top w:type="dxa" w:w="120"/>
              <w:left w:type="dxa" w:w="160"/>
              <w:bottom w:type="dxa" w:w="120"/>
              <w:right w:type="dxa" w:w="160"/>
            </w:tcMar>
          </w:tcPr>
          <w:p>
            <w:pPr>
              <w:spacing w:after="0"/>
            </w:pPr>
            <w:r>
              <w:rPr>
                <w:b w:val="false"/>
                <w:bCs w:val="false"/>
                <w:color w:val="26282C"/>
                <w:sz w:val="20"/>
                <w:szCs w:val="20"/>
              </w:rPr>
              <w:t xml:space="preserve">Azure integration</w:t>
            </w:r>
          </w:p>
        </w:tc>
        <w:tc>
          <w:tcPr>
            <w:tcW w:type="dxa" w:w="3800"/>
            <w:tcMar>
              <w:top w:type="dxa" w:w="120"/>
              <w:left w:type="dxa" w:w="160"/>
              <w:bottom w:type="dxa" w:w="120"/>
              <w:right w:type="dxa" w:w="160"/>
            </w:tcMar>
          </w:tcPr>
          <w:p>
            <w:pPr>
              <w:spacing w:after="0"/>
            </w:pPr>
            <w:r>
              <w:rPr>
                <w:b w:val="false"/>
                <w:bCs w:val="false"/>
                <w:color w:val="26282C"/>
                <w:sz w:val="20"/>
                <w:szCs w:val="20"/>
              </w:rPr>
              <w:t xml:space="preserve">Authentication and provider API translation</w:t>
            </w:r>
          </w:p>
        </w:tc>
        <w:tc>
          <w:tcPr>
            <w:tcW w:type="dxa" w:w="3360"/>
            <w:tcMar>
              <w:top w:type="dxa" w:w="120"/>
              <w:left w:type="dxa" w:w="160"/>
              <w:bottom w:type="dxa" w:w="120"/>
              <w:right w:type="dxa" w:w="160"/>
            </w:tcMar>
          </w:tcPr>
          <w:p>
            <w:pPr>
              <w:spacing w:after="0"/>
            </w:pPr>
            <w:r>
              <w:rPr>
                <w:b w:val="false"/>
                <w:bCs w:val="false"/>
                <w:color w:val="26282C"/>
                <w:sz w:val="20"/>
                <w:szCs w:val="20"/>
              </w:rPr>
              <w:t xml:space="preserve">Domain logic, agents, dashboards</w:t>
            </w:r>
          </w:p>
        </w:tc>
      </w:tr>
      <w:tr>
        <w:tc>
          <w:tcPr>
            <w:tcW w:type="dxa" w:w="2200"/>
            <w:shd w:fill="F7F8FA" w:color="auto" w:val="clear"/>
            <w:tcMar>
              <w:top w:type="dxa" w:w="120"/>
              <w:left w:type="dxa" w:w="160"/>
              <w:bottom w:type="dxa" w:w="120"/>
              <w:right w:type="dxa" w:w="160"/>
            </w:tcMar>
          </w:tcPr>
          <w:p>
            <w:pPr>
              <w:spacing w:after="0"/>
            </w:pPr>
            <w:r>
              <w:rPr>
                <w:b w:val="false"/>
                <w:bCs w:val="false"/>
                <w:color w:val="26282C"/>
                <w:sz w:val="20"/>
                <w:szCs w:val="20"/>
              </w:rPr>
              <w:t xml:space="preserve">Monitoring domain</w:t>
            </w:r>
          </w:p>
        </w:tc>
        <w:tc>
          <w:tcPr>
            <w:tcW w:type="dxa" w:w="3800"/>
            <w:shd w:fill="F7F8FA" w:color="auto" w:val="clear"/>
            <w:tcMar>
              <w:top w:type="dxa" w:w="120"/>
              <w:left w:type="dxa" w:w="160"/>
              <w:bottom w:type="dxa" w:w="120"/>
              <w:right w:type="dxa" w:w="160"/>
            </w:tcMar>
          </w:tcPr>
          <w:p>
            <w:pPr>
              <w:spacing w:after="0"/>
            </w:pPr>
            <w:r>
              <w:rPr>
                <w:b w:val="false"/>
                <w:bCs w:val="false"/>
                <w:color w:val="26282C"/>
                <w:sz w:val="20"/>
                <w:szCs w:val="20"/>
              </w:rPr>
              <w:t xml:space="preserve">Costs, budgets, alerts, forecasts, recommendations</w:t>
            </w:r>
          </w:p>
        </w:tc>
        <w:tc>
          <w:tcPr>
            <w:tcW w:type="dxa" w:w="3360"/>
            <w:shd w:fill="F7F8FA" w:color="auto" w:val="clear"/>
            <w:tcMar>
              <w:top w:type="dxa" w:w="120"/>
              <w:left w:type="dxa" w:w="160"/>
              <w:bottom w:type="dxa" w:w="120"/>
              <w:right w:type="dxa" w:w="160"/>
            </w:tcMar>
          </w:tcPr>
          <w:p>
            <w:pPr>
              <w:spacing w:after="0"/>
            </w:pPr>
            <w:r>
              <w:rPr>
                <w:b w:val="false"/>
                <w:bCs w:val="false"/>
                <w:color w:val="26282C"/>
                <w:sz w:val="20"/>
                <w:szCs w:val="20"/>
              </w:rPr>
              <w:t xml:space="preserve">Cloud SDKs and model providers</w:t>
            </w:r>
          </w:p>
        </w:tc>
      </w:tr>
      <w:tr>
        <w:tc>
          <w:tcPr>
            <w:tcW w:type="dxa" w:w="2200"/>
            <w:tcMar>
              <w:top w:type="dxa" w:w="120"/>
              <w:left w:type="dxa" w:w="160"/>
              <w:bottom w:type="dxa" w:w="120"/>
              <w:right w:type="dxa" w:w="160"/>
            </w:tcMar>
          </w:tcPr>
          <w:p>
            <w:pPr>
              <w:spacing w:after="0"/>
            </w:pPr>
            <w:r>
              <w:rPr>
                <w:b w:val="false"/>
                <w:bCs w:val="false"/>
                <w:color w:val="26282C"/>
                <w:sz w:val="20"/>
                <w:szCs w:val="20"/>
              </w:rPr>
              <w:t xml:space="preserve">Agent runtime</w:t>
            </w:r>
          </w:p>
        </w:tc>
        <w:tc>
          <w:tcPr>
            <w:tcW w:type="dxa" w:w="3800"/>
            <w:tcMar>
              <w:top w:type="dxa" w:w="120"/>
              <w:left w:type="dxa" w:w="160"/>
              <w:bottom w:type="dxa" w:w="120"/>
              <w:right w:type="dxa" w:w="160"/>
            </w:tcMar>
          </w:tcPr>
          <w:p>
            <w:pPr>
              <w:spacing w:after="0"/>
            </w:pPr>
            <w:r>
              <w:rPr>
                <w:b w:val="false"/>
                <w:bCs w:val="false"/>
                <w:color w:val="26282C"/>
                <w:sz w:val="20"/>
                <w:szCs w:val="20"/>
              </w:rPr>
              <w:t xml:space="preserve">Planning, evidence requests, governance, communication</w:t>
            </w:r>
          </w:p>
        </w:tc>
        <w:tc>
          <w:tcPr>
            <w:tcW w:type="dxa" w:w="3360"/>
            <w:tcMar>
              <w:top w:type="dxa" w:w="120"/>
              <w:left w:type="dxa" w:w="160"/>
              <w:bottom w:type="dxa" w:w="120"/>
              <w:right w:type="dxa" w:w="160"/>
            </w:tcMar>
          </w:tcPr>
          <w:p>
            <w:pPr>
              <w:spacing w:after="0"/>
            </w:pPr>
            <w:r>
              <w:rPr>
                <w:b w:val="false"/>
                <w:bCs w:val="false"/>
                <w:color w:val="26282C"/>
                <w:sz w:val="20"/>
                <w:szCs w:val="20"/>
              </w:rPr>
              <w:t xml:space="preserve">SQL schemas and Azure credentials</w:t>
            </w:r>
          </w:p>
        </w:tc>
      </w:tr>
      <w:tr>
        <w:tc>
          <w:tcPr>
            <w:tcW w:type="dxa" w:w="2200"/>
            <w:shd w:fill="F7F8FA" w:color="auto" w:val="clear"/>
            <w:tcMar>
              <w:top w:type="dxa" w:w="120"/>
              <w:left w:type="dxa" w:w="160"/>
              <w:bottom w:type="dxa" w:w="120"/>
              <w:right w:type="dxa" w:w="160"/>
            </w:tcMar>
          </w:tcPr>
          <w:p>
            <w:pPr>
              <w:spacing w:after="0"/>
            </w:pPr>
            <w:r>
              <w:rPr>
                <w:b w:val="false"/>
                <w:bCs w:val="false"/>
                <w:color w:val="26282C"/>
                <w:sz w:val="20"/>
                <w:szCs w:val="20"/>
              </w:rPr>
              <w:t xml:space="preserve">Persistence</w:t>
            </w:r>
          </w:p>
        </w:tc>
        <w:tc>
          <w:tcPr>
            <w:tcW w:type="dxa" w:w="3800"/>
            <w:shd w:fill="F7F8FA" w:color="auto" w:val="clear"/>
            <w:tcMar>
              <w:top w:type="dxa" w:w="120"/>
              <w:left w:type="dxa" w:w="160"/>
              <w:bottom w:type="dxa" w:w="120"/>
              <w:right w:type="dxa" w:w="160"/>
            </w:tcMar>
          </w:tcPr>
          <w:p>
            <w:pPr>
              <w:spacing w:after="0"/>
            </w:pPr>
            <w:r>
              <w:rPr>
                <w:b w:val="false"/>
                <w:bCs w:val="false"/>
                <w:color w:val="26282C"/>
                <w:sz w:val="20"/>
                <w:szCs w:val="20"/>
              </w:rPr>
              <w:t xml:space="preserve">Repository contracts, migrations, checkpoints, audit</w:t>
            </w:r>
          </w:p>
        </w:tc>
        <w:tc>
          <w:tcPr>
            <w:tcW w:type="dxa" w:w="3360"/>
            <w:shd w:fill="F7F8FA" w:color="auto" w:val="clear"/>
            <w:tcMar>
              <w:top w:type="dxa" w:w="120"/>
              <w:left w:type="dxa" w:w="160"/>
              <w:bottom w:type="dxa" w:w="120"/>
              <w:right w:type="dxa" w:w="160"/>
            </w:tcMar>
          </w:tcPr>
          <w:p>
            <w:pPr>
              <w:spacing w:after="0"/>
            </w:pPr>
            <w:r>
              <w:rPr>
                <w:b w:val="false"/>
                <w:bCs w:val="false"/>
                <w:color w:val="26282C"/>
                <w:sz w:val="20"/>
                <w:szCs w:val="20"/>
              </w:rPr>
              <w:t xml:space="preserve">API presentation and prompts</w:t>
            </w:r>
          </w:p>
        </w:tc>
      </w:tr>
      <w:tr>
        <w:tc>
          <w:tcPr>
            <w:tcW w:type="dxa" w:w="2200"/>
            <w:tcMar>
              <w:top w:type="dxa" w:w="120"/>
              <w:left w:type="dxa" w:w="160"/>
              <w:bottom w:type="dxa" w:w="120"/>
              <w:right w:type="dxa" w:w="160"/>
            </w:tcMar>
          </w:tcPr>
          <w:p>
            <w:pPr>
              <w:spacing w:after="0"/>
            </w:pPr>
            <w:r>
              <w:rPr>
                <w:b w:val="false"/>
                <w:bCs w:val="false"/>
                <w:color w:val="26282C"/>
                <w:sz w:val="20"/>
                <w:szCs w:val="20"/>
              </w:rPr>
              <w:t xml:space="preserve">API and CLI</w:t>
            </w:r>
          </w:p>
        </w:tc>
        <w:tc>
          <w:tcPr>
            <w:tcW w:type="dxa" w:w="3800"/>
            <w:tcMar>
              <w:top w:type="dxa" w:w="120"/>
              <w:left w:type="dxa" w:w="160"/>
              <w:bottom w:type="dxa" w:w="120"/>
              <w:right w:type="dxa" w:w="160"/>
            </w:tcMar>
          </w:tcPr>
          <w:p>
            <w:pPr>
              <w:spacing w:after="0"/>
            </w:pPr>
            <w:r>
              <w:rPr>
                <w:b w:val="false"/>
                <w:bCs w:val="false"/>
                <w:color w:val="26282C"/>
                <w:sz w:val="20"/>
                <w:szCs w:val="20"/>
              </w:rPr>
              <w:t xml:space="preserve">Transport, authentication context, response contracts</w:t>
            </w:r>
          </w:p>
        </w:tc>
        <w:tc>
          <w:tcPr>
            <w:tcW w:type="dxa" w:w="3360"/>
            <w:tcMar>
              <w:top w:type="dxa" w:w="120"/>
              <w:left w:type="dxa" w:w="160"/>
              <w:bottom w:type="dxa" w:w="120"/>
              <w:right w:type="dxa" w:w="160"/>
            </w:tcMar>
          </w:tcPr>
          <w:p>
            <w:pPr>
              <w:spacing w:after="0"/>
            </w:pPr>
            <w:r>
              <w:rPr>
                <w:b w:val="false"/>
                <w:bCs w:val="false"/>
                <w:color w:val="26282C"/>
                <w:sz w:val="20"/>
                <w:szCs w:val="20"/>
              </w:rPr>
              <w:t xml:space="preserve">Collection and graph internals</w:t>
            </w:r>
          </w:p>
        </w:tc>
      </w:tr>
      <w:tr>
        <w:tc>
          <w:tcPr>
            <w:tcW w:type="dxa" w:w="2200"/>
            <w:shd w:fill="F7F8FA" w:color="auto" w:val="clear"/>
            <w:tcMar>
              <w:top w:type="dxa" w:w="120"/>
              <w:left w:type="dxa" w:w="160"/>
              <w:bottom w:type="dxa" w:w="120"/>
              <w:right w:type="dxa" w:w="160"/>
            </w:tcMar>
          </w:tcPr>
          <w:p>
            <w:pPr>
              <w:spacing w:after="0"/>
            </w:pPr>
            <w:r>
              <w:rPr>
                <w:b w:val="false"/>
                <w:bCs w:val="false"/>
                <w:color w:val="26282C"/>
                <w:sz w:val="20"/>
                <w:szCs w:val="20"/>
              </w:rPr>
              <w:t xml:space="preserve">Observability</w:t>
            </w:r>
          </w:p>
        </w:tc>
        <w:tc>
          <w:tcPr>
            <w:tcW w:type="dxa" w:w="3800"/>
            <w:shd w:fill="F7F8FA" w:color="auto" w:val="clear"/>
            <w:tcMar>
              <w:top w:type="dxa" w:w="120"/>
              <w:left w:type="dxa" w:w="160"/>
              <w:bottom w:type="dxa" w:w="120"/>
              <w:right w:type="dxa" w:w="160"/>
            </w:tcMar>
          </w:tcPr>
          <w:p>
            <w:pPr>
              <w:spacing w:after="0"/>
            </w:pPr>
            <w:r>
              <w:rPr>
                <w:b w:val="false"/>
                <w:bCs w:val="false"/>
                <w:color w:val="26282C"/>
                <w:sz w:val="20"/>
                <w:szCs w:val="20"/>
              </w:rPr>
              <w:t xml:space="preserve">Metrics, health, dashboards</w:t>
            </w:r>
          </w:p>
        </w:tc>
        <w:tc>
          <w:tcPr>
            <w:tcW w:type="dxa" w:w="3360"/>
            <w:shd w:fill="F7F8FA" w:color="auto" w:val="clear"/>
            <w:tcMar>
              <w:top w:type="dxa" w:w="120"/>
              <w:left w:type="dxa" w:w="160"/>
              <w:bottom w:type="dxa" w:w="120"/>
              <w:right w:type="dxa" w:w="160"/>
            </w:tcMar>
          </w:tcPr>
          <w:p>
            <w:pPr>
              <w:spacing w:after="0"/>
            </w:pPr>
            <w:r>
              <w:rPr>
                <w:b w:val="false"/>
                <w:bCs w:val="false"/>
                <w:color w:val="26282C"/>
                <w:sz w:val="20"/>
                <w:szCs w:val="20"/>
              </w:rPr>
              <w:t xml:space="preserve">Business workflows</w:t>
            </w:r>
          </w:p>
        </w:tc>
      </w:tr>
    </w:tbl>
    <w:p>
      <w:pPr>
        <w:spacing w:after="160"/>
      </w:pPr>
    </w:p>
    <w:p>
      <w:pPr>
        <w:spacing w:after="200"/>
      </w:pPr>
      <w:r>
        <w:rPr>
          <w:color w:val="26282C"/>
          <w:sz w:val="22"/>
          <w:szCs w:val="22"/>
        </w:rPr>
        <w:t xml:space="preserve">The pattern that actually enforces this is dependency direction. Business and agent code depend on interfaces — cost repositories, inventory tools, model factories — not on concrete SDK calls. Provider-specific details sit at the edge. That's what makes it possible to swap Azure OpenAI for an OpenAI-compatible endpoint, replace PostgreSQL with another repository implementation, or present through something other than Grafana without touching the reasoning model at all.</w:t>
      </w:r>
    </w:p>
    <w:tbl>
      <w:tblPr>
        <w:tblW w:type="pct" w:w="100%"/>
        <w:tblBorders>
          <w:top w:val="single" w:color="2C5F8A" w:sz="4"/>
          <w:left w:val="single" w:color="C9CED6" w:sz="4"/>
          <w:bottom w:val="single" w:color="C9CED6" w:sz="4"/>
          <w:right w:val="single" w:color="C9CED6" w:sz="4"/>
          <w:insideH w:val="none" w:color="FFFFFF" w:sz="0"/>
          <w:insideV w:val="none" w:color="FFFFFF" w:sz="0"/>
        </w:tblBorders>
      </w:tblPr>
      <w:tblGrid>
        <w:gridCol w:w="100"/>
      </w:tblGrid>
      <w:tr>
        <w:tc>
          <w:tcPr>
            <w:shd w:fill="EEF2F6" w:color="auto" w:val="clear"/>
            <w:tcMar>
              <w:top w:type="dxa" w:w="180"/>
              <w:left w:type="dxa" w:w="220"/>
              <w:bottom w:type="dxa" w:w="180"/>
              <w:right w:type="dxa" w:w="220"/>
            </w:tcMar>
          </w:tcPr>
          <w:p>
            <w:pPr>
              <w:spacing w:after="60"/>
            </w:pPr>
            <w:r>
              <w:rPr>
                <w:b/>
                <w:bCs/>
                <w:color w:val="2C5F8A"/>
                <w:sz w:val="21"/>
                <w:szCs w:val="21"/>
              </w:rPr>
              <w:t xml:space="preserve">Design heuristic</w:t>
            </w:r>
          </w:p>
          <w:p>
            <w:r>
              <w:rPr>
                <w:color w:val="26282C"/>
                <w:sz w:val="21"/>
                <w:szCs w:val="21"/>
              </w:rPr>
              <w:t xml:space="preserve">If a model prompt contains SQL, a dashboard contains business rules, or a scheduler contains provider credentials, a boundary is probably missing.</w:t>
            </w:r>
          </w:p>
        </w:tc>
      </w:tr>
    </w:tbl>
    <w:p>
      <w:pPr>
        <w:spacing w:after="300"/>
      </w:pPr>
    </w:p>
    <w:p>
      <w:pPr>
        <w:pStyle w:val="Heading1"/>
        <w:pBdr>
          <w:bottom w:val="single" w:color="C9CED6" w:sz="6" w:space="4"/>
        </w:pBdr>
        <w:spacing w:after="160" w:before="420"/>
      </w:pPr>
      <w:r>
        <w:rPr>
          <w:b/>
          <w:bCs/>
          <w:color w:val="1F2937"/>
          <w:sz w:val="30"/>
          <w:szCs w:val="30"/>
        </w:rPr>
        <w:t xml:space="preserve">Why PostgreSQL plus TimescaleDB</w:t>
      </w:r>
    </w:p>
    <w:p>
      <w:pPr>
        <w:spacing w:after="200"/>
      </w:pPr>
      <w:r>
        <w:rPr>
          <w:i/>
          <w:iCs/>
          <w:color w:val="555B66"/>
          <w:sz w:val="22"/>
          <w:szCs w:val="22"/>
        </w:rPr>
        <w:t xml:space="preserve">Cost data is relational in meaning and time-series in access pattern.</w:t>
      </w:r>
    </w:p>
    <w:p>
      <w:pPr>
        <w:spacing w:after="200"/>
      </w:pPr>
      <w:r>
        <w:rPr>
          <w:color w:val="26282C"/>
          <w:sz w:val="22"/>
          <w:szCs w:val="22"/>
        </w:rPr>
        <w:t xml:space="preserve">Azure cost records have dimensions — subscription, service, resource, region, tags, currency — and a time axis. Most real queries combine both: monthly spend by service, daily trend for a subscription, latest forecast versus budget, or cost before and after a recommendation. A general document store makes those relationships and aggregations harder to express; a metrics-only store is weak for transactions, joins, approvals, and audit records — all things this platform needs on the same data.</w:t>
      </w:r>
    </w:p>
    <w:tbl>
      <w:tblPr>
        <w:tblW w:type="dxa" w:w="9360"/>
        <w:tblBorders>
          <w:top w:val="single" w:color="C9CED6" w:sz="2"/>
          <w:left w:val="single" w:color="C9CED6" w:sz="2"/>
          <w:bottom w:val="single" w:color="C9CED6" w:sz="2"/>
          <w:right w:val="single" w:color="C9CED6" w:sz="2"/>
          <w:insideH w:val="single" w:color="C9CED6" w:sz="2"/>
          <w:insideV w:val="single" w:color="C9CED6" w:sz="2"/>
        </w:tblBorders>
      </w:tblPr>
      <w:tblGrid>
        <w:gridCol w:w="2200"/>
        <w:gridCol w:w="2600"/>
        <w:gridCol w:w="4560"/>
      </w:tblGrid>
      <w:tr>
        <w:trPr>
          <w:tblHeader/>
        </w:trPr>
        <w:tc>
          <w:tcPr>
            <w:tcW w:type="dxa" w:w="2200"/>
            <w:shd w:fill="1F2937" w:color="auto" w:val="clear"/>
            <w:tcMar>
              <w:top w:type="dxa" w:w="120"/>
              <w:left w:type="dxa" w:w="160"/>
              <w:bottom w:type="dxa" w:w="120"/>
              <w:right w:type="dxa" w:w="160"/>
            </w:tcMar>
          </w:tcPr>
          <w:p>
            <w:pPr>
              <w:spacing w:after="0"/>
            </w:pPr>
            <w:r>
              <w:rPr>
                <w:b/>
                <w:bCs/>
                <w:color w:val="FFFFFF"/>
                <w:sz w:val="20"/>
                <w:szCs w:val="20"/>
              </w:rPr>
              <w:t xml:space="preserve">Option</w:t>
            </w:r>
          </w:p>
        </w:tc>
        <w:tc>
          <w:tcPr>
            <w:tcW w:type="dxa" w:w="2600"/>
            <w:shd w:fill="1F2937" w:color="auto" w:val="clear"/>
            <w:tcMar>
              <w:top w:type="dxa" w:w="120"/>
              <w:left w:type="dxa" w:w="160"/>
              <w:bottom w:type="dxa" w:w="120"/>
              <w:right w:type="dxa" w:w="160"/>
            </w:tcMar>
          </w:tcPr>
          <w:p>
            <w:pPr>
              <w:spacing w:after="0"/>
            </w:pPr>
            <w:r>
              <w:rPr>
                <w:b/>
                <w:bCs/>
                <w:color w:val="FFFFFF"/>
                <w:sz w:val="20"/>
                <w:szCs w:val="20"/>
              </w:rPr>
              <w:t xml:space="preserve">Strength</w:t>
            </w:r>
          </w:p>
        </w:tc>
        <w:tc>
          <w:tcPr>
            <w:tcW w:type="dxa" w:w="4560"/>
            <w:shd w:fill="1F2937" w:color="auto" w:val="clear"/>
            <w:tcMar>
              <w:top w:type="dxa" w:w="120"/>
              <w:left w:type="dxa" w:w="160"/>
              <w:bottom w:type="dxa" w:w="120"/>
              <w:right w:type="dxa" w:w="160"/>
            </w:tcMar>
          </w:tcPr>
          <w:p>
            <w:pPr>
              <w:spacing w:after="0"/>
            </w:pPr>
            <w:r>
              <w:rPr>
                <w:b/>
                <w:bCs/>
                <w:color w:val="FFFFFF"/>
                <w:sz w:val="20"/>
                <w:szCs w:val="20"/>
              </w:rPr>
              <w:t xml:space="preserve">Why it was, or wasn't, chosen</w:t>
            </w:r>
          </w:p>
        </w:tc>
      </w:tr>
      <w:tr>
        <w:tc>
          <w:tcPr>
            <w:tcW w:type="dxa" w:w="2200"/>
            <w:tcMar>
              <w:top w:type="dxa" w:w="120"/>
              <w:left w:type="dxa" w:w="160"/>
              <w:bottom w:type="dxa" w:w="120"/>
              <w:right w:type="dxa" w:w="160"/>
            </w:tcMar>
          </w:tcPr>
          <w:p>
            <w:pPr>
              <w:spacing w:after="0"/>
            </w:pPr>
            <w:r>
              <w:rPr>
                <w:b w:val="false"/>
                <w:bCs w:val="false"/>
                <w:color w:val="26282C"/>
                <w:sz w:val="20"/>
                <w:szCs w:val="20"/>
              </w:rPr>
              <w:t xml:space="preserve">PostgreSQL</w:t>
            </w:r>
          </w:p>
        </w:tc>
        <w:tc>
          <w:tcPr>
            <w:tcW w:type="dxa" w:w="2600"/>
            <w:tcMar>
              <w:top w:type="dxa" w:w="120"/>
              <w:left w:type="dxa" w:w="160"/>
              <w:bottom w:type="dxa" w:w="120"/>
              <w:right w:type="dxa" w:w="160"/>
            </w:tcMar>
          </w:tcPr>
          <w:p>
            <w:pPr>
              <w:spacing w:after="0"/>
            </w:pPr>
            <w:r>
              <w:rPr>
                <w:b w:val="false"/>
                <w:bCs w:val="false"/>
                <w:color w:val="26282C"/>
                <w:sz w:val="20"/>
                <w:szCs w:val="20"/>
              </w:rPr>
              <w:t xml:space="preserve">Transactions, joins, constraints, mature tooling</w:t>
            </w:r>
          </w:p>
        </w:tc>
        <w:tc>
          <w:tcPr>
            <w:tcW w:type="dxa" w:w="4560"/>
            <w:tcMar>
              <w:top w:type="dxa" w:w="120"/>
              <w:left w:type="dxa" w:w="160"/>
              <w:bottom w:type="dxa" w:w="120"/>
              <w:right w:type="dxa" w:w="160"/>
            </w:tcMar>
          </w:tcPr>
          <w:p>
            <w:pPr>
              <w:spacing w:after="0"/>
            </w:pPr>
            <w:r>
              <w:rPr>
                <w:b w:val="false"/>
                <w:bCs w:val="false"/>
                <w:color w:val="26282C"/>
                <w:sz w:val="20"/>
                <w:szCs w:val="20"/>
              </w:rPr>
              <w:t xml:space="preserve">Chosen as the canonical system of record.</w:t>
            </w:r>
          </w:p>
        </w:tc>
      </w:tr>
      <w:tr>
        <w:tc>
          <w:tcPr>
            <w:tcW w:type="dxa" w:w="2200"/>
            <w:shd w:fill="F7F8FA" w:color="auto" w:val="clear"/>
            <w:tcMar>
              <w:top w:type="dxa" w:w="120"/>
              <w:left w:type="dxa" w:w="160"/>
              <w:bottom w:type="dxa" w:w="120"/>
              <w:right w:type="dxa" w:w="160"/>
            </w:tcMar>
          </w:tcPr>
          <w:p>
            <w:pPr>
              <w:spacing w:after="0"/>
            </w:pPr>
            <w:r>
              <w:rPr>
                <w:b w:val="false"/>
                <w:bCs w:val="false"/>
                <w:color w:val="26282C"/>
                <w:sz w:val="20"/>
                <w:szCs w:val="20"/>
              </w:rPr>
              <w:t xml:space="preserve">TimescaleDB extension</w:t>
            </w:r>
          </w:p>
        </w:tc>
        <w:tc>
          <w:tcPr>
            <w:tcW w:type="dxa" w:w="2600"/>
            <w:shd w:fill="F7F8FA" w:color="auto" w:val="clear"/>
            <w:tcMar>
              <w:top w:type="dxa" w:w="120"/>
              <w:left w:type="dxa" w:w="160"/>
              <w:bottom w:type="dxa" w:w="120"/>
              <w:right w:type="dxa" w:w="160"/>
            </w:tcMar>
          </w:tcPr>
          <w:p>
            <w:pPr>
              <w:spacing w:after="0"/>
            </w:pPr>
            <w:r>
              <w:rPr>
                <w:b w:val="false"/>
                <w:bCs w:val="false"/>
                <w:color w:val="26282C"/>
                <w:sz w:val="20"/>
                <w:szCs w:val="20"/>
              </w:rPr>
              <w:t xml:space="preserve">Time partitioning and time-oriented aggregation</w:t>
            </w:r>
          </w:p>
        </w:tc>
        <w:tc>
          <w:tcPr>
            <w:tcW w:type="dxa" w:w="4560"/>
            <w:shd w:fill="F7F8FA" w:color="auto" w:val="clear"/>
            <w:tcMar>
              <w:top w:type="dxa" w:w="120"/>
              <w:left w:type="dxa" w:w="160"/>
              <w:bottom w:type="dxa" w:w="120"/>
              <w:right w:type="dxa" w:w="160"/>
            </w:tcMar>
          </w:tcPr>
          <w:p>
            <w:pPr>
              <w:spacing w:after="0"/>
            </w:pPr>
            <w:r>
              <w:rPr>
                <w:b w:val="false"/>
                <w:bCs w:val="false"/>
                <w:color w:val="26282C"/>
                <w:sz w:val="20"/>
                <w:szCs w:val="20"/>
              </w:rPr>
              <w:t xml:space="preserve">Chosen to optimize cost history without introducing another database.</w:t>
            </w:r>
          </w:p>
        </w:tc>
      </w:tr>
      <w:tr>
        <w:tc>
          <w:tcPr>
            <w:tcW w:type="dxa" w:w="2200"/>
            <w:tcMar>
              <w:top w:type="dxa" w:w="120"/>
              <w:left w:type="dxa" w:w="160"/>
              <w:bottom w:type="dxa" w:w="120"/>
              <w:right w:type="dxa" w:w="160"/>
            </w:tcMar>
          </w:tcPr>
          <w:p>
            <w:pPr>
              <w:spacing w:after="0"/>
            </w:pPr>
            <w:r>
              <w:rPr>
                <w:b w:val="false"/>
                <w:bCs w:val="false"/>
                <w:color w:val="26282C"/>
                <w:sz w:val="20"/>
                <w:szCs w:val="20"/>
              </w:rPr>
              <w:t xml:space="preserve">Dedicated metrics store</w:t>
            </w:r>
          </w:p>
        </w:tc>
        <w:tc>
          <w:tcPr>
            <w:tcW w:type="dxa" w:w="2600"/>
            <w:tcMar>
              <w:top w:type="dxa" w:w="120"/>
              <w:left w:type="dxa" w:w="160"/>
              <w:bottom w:type="dxa" w:w="120"/>
              <w:right w:type="dxa" w:w="160"/>
            </w:tcMar>
          </w:tcPr>
          <w:p>
            <w:pPr>
              <w:spacing w:after="0"/>
            </w:pPr>
            <w:r>
              <w:rPr>
                <w:b w:val="false"/>
                <w:bCs w:val="false"/>
                <w:color w:val="26282C"/>
                <w:sz w:val="20"/>
                <w:szCs w:val="20"/>
              </w:rPr>
              <w:t xml:space="preserve">High-volume telemetry</w:t>
            </w:r>
          </w:p>
        </w:tc>
        <w:tc>
          <w:tcPr>
            <w:tcW w:type="dxa" w:w="4560"/>
            <w:tcMar>
              <w:top w:type="dxa" w:w="120"/>
              <w:left w:type="dxa" w:w="160"/>
              <w:bottom w:type="dxa" w:w="120"/>
              <w:right w:type="dxa" w:w="160"/>
            </w:tcMar>
          </w:tcPr>
          <w:p>
            <w:pPr>
              <w:spacing w:after="0"/>
            </w:pPr>
            <w:r>
              <w:rPr>
                <w:b w:val="false"/>
                <w:bCs w:val="false"/>
                <w:color w:val="26282C"/>
                <w:sz w:val="20"/>
                <w:szCs w:val="20"/>
              </w:rPr>
              <w:t xml:space="preserve">Used for Prometheus metrics, not financial records or audit state.</w:t>
            </w:r>
          </w:p>
        </w:tc>
      </w:tr>
      <w:tr>
        <w:tc>
          <w:tcPr>
            <w:tcW w:type="dxa" w:w="2200"/>
            <w:shd w:fill="F7F8FA" w:color="auto" w:val="clear"/>
            <w:tcMar>
              <w:top w:type="dxa" w:w="120"/>
              <w:left w:type="dxa" w:w="160"/>
              <w:bottom w:type="dxa" w:w="120"/>
              <w:right w:type="dxa" w:w="160"/>
            </w:tcMar>
          </w:tcPr>
          <w:p>
            <w:pPr>
              <w:spacing w:after="0"/>
            </w:pPr>
            <w:r>
              <w:rPr>
                <w:b w:val="false"/>
                <w:bCs w:val="false"/>
                <w:color w:val="26282C"/>
                <w:sz w:val="20"/>
                <w:szCs w:val="20"/>
              </w:rPr>
              <w:t xml:space="preserve">Document database</w:t>
            </w:r>
          </w:p>
        </w:tc>
        <w:tc>
          <w:tcPr>
            <w:tcW w:type="dxa" w:w="2600"/>
            <w:shd w:fill="F7F8FA" w:color="auto" w:val="clear"/>
            <w:tcMar>
              <w:top w:type="dxa" w:w="120"/>
              <w:left w:type="dxa" w:w="160"/>
              <w:bottom w:type="dxa" w:w="120"/>
              <w:right w:type="dxa" w:w="160"/>
            </w:tcMar>
          </w:tcPr>
          <w:p>
            <w:pPr>
              <w:spacing w:after="0"/>
            </w:pPr>
            <w:r>
              <w:rPr>
                <w:b w:val="false"/>
                <w:bCs w:val="false"/>
                <w:color w:val="26282C"/>
                <w:sz w:val="20"/>
                <w:szCs w:val="20"/>
              </w:rPr>
              <w:t xml:space="preserve">Flexible documents</w:t>
            </w:r>
          </w:p>
        </w:tc>
        <w:tc>
          <w:tcPr>
            <w:tcW w:type="dxa" w:w="4560"/>
            <w:shd w:fill="F7F8FA" w:color="auto" w:val="clear"/>
            <w:tcMar>
              <w:top w:type="dxa" w:w="120"/>
              <w:left w:type="dxa" w:w="160"/>
              <w:bottom w:type="dxa" w:w="120"/>
              <w:right w:type="dxa" w:w="160"/>
            </w:tcMar>
          </w:tcPr>
          <w:p>
            <w:pPr>
              <w:spacing w:after="0"/>
            </w:pPr>
            <w:r>
              <w:rPr>
                <w:b w:val="false"/>
                <w:bCs w:val="false"/>
                <w:color w:val="26282C"/>
                <w:sz w:val="20"/>
                <w:szCs w:val="20"/>
              </w:rPr>
              <w:t xml:space="preserve">Not selected — financial dimensions, joins, and governance records benefit from explicit schemas.</w:t>
            </w:r>
          </w:p>
        </w:tc>
      </w:tr>
      <w:tr>
        <w:tc>
          <w:tcPr>
            <w:tcW w:type="dxa" w:w="2200"/>
            <w:tcMar>
              <w:top w:type="dxa" w:w="120"/>
              <w:left w:type="dxa" w:w="160"/>
              <w:bottom w:type="dxa" w:w="120"/>
              <w:right w:type="dxa" w:w="160"/>
            </w:tcMar>
          </w:tcPr>
          <w:p>
            <w:pPr>
              <w:spacing w:after="0"/>
            </w:pPr>
            <w:r>
              <w:rPr>
                <w:b w:val="false"/>
                <w:bCs w:val="false"/>
                <w:color w:val="26282C"/>
                <w:sz w:val="20"/>
                <w:szCs w:val="20"/>
              </w:rPr>
              <w:t xml:space="preserve">Data warehouse</w:t>
            </w:r>
          </w:p>
        </w:tc>
        <w:tc>
          <w:tcPr>
            <w:tcW w:type="dxa" w:w="2600"/>
            <w:tcMar>
              <w:top w:type="dxa" w:w="120"/>
              <w:left w:type="dxa" w:w="160"/>
              <w:bottom w:type="dxa" w:w="120"/>
              <w:right w:type="dxa" w:w="160"/>
            </w:tcMar>
          </w:tcPr>
          <w:p>
            <w:pPr>
              <w:spacing w:after="0"/>
            </w:pPr>
            <w:r>
              <w:rPr>
                <w:b w:val="false"/>
                <w:bCs w:val="false"/>
                <w:color w:val="26282C"/>
                <w:sz w:val="20"/>
                <w:szCs w:val="20"/>
              </w:rPr>
              <w:t xml:space="preserve">Large analytical workloads</w:t>
            </w:r>
          </w:p>
        </w:tc>
        <w:tc>
          <w:tcPr>
            <w:tcW w:type="dxa" w:w="4560"/>
            <w:tcMar>
              <w:top w:type="dxa" w:w="120"/>
              <w:left w:type="dxa" w:w="160"/>
              <w:bottom w:type="dxa" w:w="120"/>
              <w:right w:type="dxa" w:w="160"/>
            </w:tcMar>
          </w:tcPr>
          <w:p>
            <w:pPr>
              <w:spacing w:after="0"/>
            </w:pPr>
            <w:r>
              <w:rPr>
                <w:b w:val="false"/>
                <w:bCs w:val="false"/>
                <w:color w:val="26282C"/>
                <w:sz w:val="20"/>
                <w:szCs w:val="20"/>
              </w:rPr>
              <w:t xml:space="preserve">A future option once multi-year, multi-tenant scale exceeds the operational database boundary.</w:t>
            </w:r>
          </w:p>
        </w:tc>
      </w:tr>
    </w:tbl>
    <w:p>
      <w:pPr>
        <w:spacing w:after="160"/>
      </w:pPr>
    </w:p>
    <w:p>
      <w:pPr>
        <w:spacing w:after="200"/>
      </w:pPr>
      <w:r>
        <w:rPr>
          <w:color w:val="26282C"/>
          <w:sz w:val="22"/>
          <w:szCs w:val="22"/>
        </w:rPr>
        <w:t xml:space="preserve">This is a deliberately reversible choice. SQLAlchemy repositories isolate the application from storage details, and Alembic gives schema evolution an explicit lifecycle. If scale later requires a warehouse or lakehouse, ingestion can fan out to it without forcing the API and agent layers to understand the migration.</w:t>
      </w:r>
    </w:p>
    <w:p>
      <w:pPr>
        <w:spacing w:after="200"/>
      </w:pPr>
    </w:p>
    <w:p>
      <w:pPr>
        <w:pStyle w:val="Heading1"/>
        <w:pBdr>
          <w:bottom w:val="single" w:color="C9CED6" w:sz="6" w:space="4"/>
        </w:pBdr>
        <w:spacing w:after="160" w:before="420"/>
      </w:pPr>
      <w:r>
        <w:rPr>
          <w:b/>
          <w:bCs/>
          <w:color w:val="1F2937"/>
          <w:sz w:val="30"/>
          <w:szCs w:val="30"/>
        </w:rPr>
        <w:t xml:space="preserve">Why LangGraph instead of a chain of prompts</w:t>
      </w:r>
    </w:p>
    <w:p>
      <w:pPr>
        <w:spacing w:after="200"/>
      </w:pPr>
      <w:r>
        <w:rPr>
          <w:i/>
          <w:iCs/>
          <w:color w:val="555B66"/>
          <w:sz w:val="22"/>
          <w:szCs w:val="22"/>
        </w:rPr>
        <w:t xml:space="preserve">Coordination needs state, branching, fan-out, retries, budgets, and durable checkpoints.</w:t>
      </w:r>
    </w:p>
    <w:p>
      <w:pPr>
        <w:spacing w:after="100"/>
        <w:jc w:val="center"/>
      </w:pPr>
      <w:r>
        <w:drawing>
          <wp:inline distT="0" distB="0" distL="0" distR="0">
            <wp:extent cx="471487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14875" cy="2752725"/>
                    </a:xfrm>
                    <a:prstGeom prst="rect">
                      <a:avLst/>
                    </a:prstGeom>
                  </pic:spPr>
                </pic:pic>
              </a:graphicData>
            </a:graphic>
          </wp:inline>
        </w:drawing>
      </w:r>
    </w:p>
    <w:p>
      <w:pPr>
        <w:spacing w:after="260"/>
        <w:jc w:val="center"/>
      </w:pPr>
      <w:r>
        <w:rPr>
          <w:i/>
          <w:iCs/>
          <w:color w:val="6B7280"/>
          <w:sz w:val="19"/>
          <w:szCs w:val="19"/>
        </w:rPr>
        <w:t xml:space="preserve">The graph selects specialists, validates evidence, governs proposals, and permits only bounded refinement.</w:t>
      </w:r>
    </w:p>
    <w:p>
      <w:pPr>
        <w:spacing w:after="200"/>
      </w:pPr>
      <w:r>
        <w:rPr>
          <w:color w:val="26282C"/>
          <w:sz w:val="22"/>
          <w:szCs w:val="22"/>
        </w:rPr>
        <w:t xml:space="preserve">A prompt chain works when every request follows the same path. FinOps investigations don't. A budget question may need only cost evidence. A rightsizing question needs inventory and architecture context too. A high-risk proposal may need a refinement round; a simple explanation doesn't. A graph makes those different routes explicit and, importantly, testable in isolation from each other.</w:t>
      </w:r>
    </w:p>
    <w:p>
      <w:pPr>
        <w:spacing w:after="200"/>
      </w:pPr>
      <w:r>
        <w:rPr>
          <w:color w:val="26282C"/>
          <w:sz w:val="22"/>
          <w:szCs w:val="22"/>
        </w:rPr>
        <w:t xml:space="preserve">LangGraph was chosen because it models conditional execution and durable state directly, rather than as something bolted on top of a linear chain. Parallel specialists reduce latency, reducers define exactly how evidence merges back together, checkpoints support continuity across a conversation, and node boundaries create natural observability points. The trade-off is real — more state design and dependency management than a simple chain — and it's only justified because the workflow genuinely branches and persists.</w:t>
      </w:r>
    </w:p>
    <w:p>
      <w:pPr>
        <w:spacing w:after="200"/>
      </w:pPr>
      <w:r>
        <w:rPr>
          <w:color w:val="26282C"/>
          <w:sz w:val="22"/>
          <w:szCs w:val="22"/>
        </w:rPr>
        <w:t xml:space="preserve">The routing logic is ordinary code, not prompt instructions the model could ignore. The orchestrator's plan produces a list of selected personas; a routing function filters that list against the personas actually allowed to produce evidence, then fans out one graph branch per persona:</w:t>
      </w:r>
    </w:p>
    <w:tbl>
      <w:tblPr>
        <w:tblW w:type="pct" w:w="100%"/>
        <w:tblBorders>
          <w:top w:val="single" w:color="D8DCE2" w:sz="2"/>
          <w:left w:val="single" w:color="D8DCE2" w:sz="2"/>
          <w:bottom w:val="single" w:color="D8DCE2" w:sz="2"/>
          <w:right w:val="single" w:color="D8DCE2" w:sz="2"/>
          <w:insideH w:val="none" w:color="FFFFFF" w:sz="0"/>
          <w:insideV w:val="none" w:color="FFFFFF" w:sz="0"/>
        </w:tblBorders>
      </w:tblPr>
      <w:tblGrid>
        <w:gridCol w:w="100"/>
      </w:tblGrid>
      <w:tr>
        <w:tc>
          <w:tcPr>
            <w:shd w:fill="F4F5F7" w:color="auto" w:val="clear"/>
            <w:tcMar>
              <w:top w:type="dxa" w:w="160"/>
              <w:left w:type="dxa" w:w="220"/>
              <w:bottom w:type="dxa" w:w="160"/>
              <w:right w:type="dxa" w:w="220"/>
            </w:tcMar>
          </w:tcPr>
          <w:p>
            <w:pPr>
              <w:spacing w:after="0"/>
            </w:pPr>
            <w:r>
              <w:rPr>
                <w:rFonts w:ascii="Consolas" w:cs="Consolas" w:eastAsia="Consolas" w:hAnsi="Consolas"/>
                <w:color w:val="1B1F24"/>
                <w:sz w:val="18"/>
                <w:szCs w:val="18"/>
              </w:rPr>
              <w:t xml:space="preserve">EVIDENCE_PERSONAS = frozenset({"cost_analyst", "cloud_architect"})</w:t>
            </w:r>
          </w:p>
          <w:p>
            <w:pPr>
              <w:spacing w:after="0"/>
            </w:pPr>
            <w:r>
              <w:rPr>
                <w:rFonts w:ascii="Consolas" w:cs="Consolas" w:eastAsia="Consolas" w:hAnsi="Consolas"/>
                <w:color w:val="1B1F24"/>
                <w:sz w:val="18"/>
                <w:szCs w:val="18"/>
              </w:rPr>
              <w:t xml:space="preserve"> </w:t>
            </w:r>
          </w:p>
          <w:p>
            <w:pPr>
              <w:spacing w:after="0"/>
            </w:pPr>
            <w:r>
              <w:rPr>
                <w:rFonts w:ascii="Consolas" w:cs="Consolas" w:eastAsia="Consolas" w:hAnsi="Consolas"/>
                <w:color w:val="1B1F24"/>
                <w:sz w:val="18"/>
                <w:szCs w:val="18"/>
              </w:rPr>
              <w:t xml:space="preserve">def _route_specialists(state: AgentState) -&gt; list[Send]:</w:t>
            </w:r>
          </w:p>
          <w:p>
            <w:pPr>
              <w:spacing w:after="0"/>
            </w:pPr>
            <w:r>
              <w:rPr>
                <w:rFonts w:ascii="Consolas" w:cs="Consolas" w:eastAsia="Consolas" w:hAnsi="Consolas"/>
                <w:color w:val="1B1F24"/>
                <w:sz w:val="18"/>
                <w:szCs w:val="18"/>
              </w:rPr>
              <w:t xml:space="preserve">    selected = state.get("selected_personas", [])</w:t>
            </w:r>
          </w:p>
          <w:p>
            <w:pPr>
              <w:spacing w:after="0"/>
            </w:pPr>
            <w:r>
              <w:rPr>
                <w:rFonts w:ascii="Consolas" w:cs="Consolas" w:eastAsia="Consolas" w:hAnsi="Consolas"/>
                <w:color w:val="1B1F24"/>
                <w:sz w:val="18"/>
                <w:szCs w:val="18"/>
              </w:rPr>
              <w:t xml:space="preserve">    allowed = [name for name in selected if name in EVIDENCE_PERSONAS]</w:t>
            </w:r>
          </w:p>
          <w:p>
            <w:pPr>
              <w:spacing w:after="0"/>
            </w:pPr>
            <w:r>
              <w:rPr>
                <w:rFonts w:ascii="Consolas" w:cs="Consolas" w:eastAsia="Consolas" w:hAnsi="Consolas"/>
                <w:color w:val="1B1F24"/>
                <w:sz w:val="18"/>
                <w:szCs w:val="18"/>
              </w:rPr>
              <w:t xml:space="preserve">    if not allowed:</w:t>
            </w:r>
          </w:p>
          <w:p>
            <w:pPr>
              <w:spacing w:after="0"/>
            </w:pPr>
            <w:r>
              <w:rPr>
                <w:rFonts w:ascii="Consolas" w:cs="Consolas" w:eastAsia="Consolas" w:hAnsi="Consolas"/>
                <w:color w:val="1B1F24"/>
                <w:sz w:val="18"/>
                <w:szCs w:val="18"/>
              </w:rPr>
              <w:t xml:space="preserve">        allowed = ["cost_analyst"]</w:t>
            </w:r>
          </w:p>
          <w:p>
            <w:pPr>
              <w:spacing w:after="0"/>
            </w:pPr>
            <w:r>
              <w:rPr>
                <w:rFonts w:ascii="Consolas" w:cs="Consolas" w:eastAsia="Consolas" w:hAnsi="Consolas"/>
                <w:color w:val="1B1F24"/>
                <w:sz w:val="18"/>
                <w:szCs w:val="18"/>
              </w:rPr>
              <w:t xml:space="preserve">    return [Send("evidence_specialist", _specialist_input(state, name))</w:t>
            </w:r>
          </w:p>
          <w:p>
            <w:pPr>
              <w:spacing w:after="0"/>
            </w:pPr>
            <w:r>
              <w:rPr>
                <w:rFonts w:ascii="Consolas" w:cs="Consolas" w:eastAsia="Consolas" w:hAnsi="Consolas"/>
                <w:color w:val="1B1F24"/>
                <w:sz w:val="18"/>
                <w:szCs w:val="18"/>
              </w:rPr>
              <w:t xml:space="preserve">            for name in allowed]</w:t>
            </w:r>
          </w:p>
        </w:tc>
      </w:tr>
    </w:tbl>
    <w:p>
      <w:pPr>
        <w:spacing w:after="260" w:before="60"/>
      </w:pPr>
      <w:r>
        <w:rPr>
          <w:i/>
          <w:iCs/>
          <w:color w:val="6B7280"/>
          <w:sz w:val="19"/>
          <w:szCs w:val="19"/>
        </w:rPr>
        <w:t xml:space="preserve">src/agents/graph.py — the model proposes personas; this function decides which ones are actually allowed to run.</w:t>
      </w:r>
    </w:p>
    <w:p>
      <w:pPr>
        <w:spacing w:after="200"/>
      </w:pPr>
      <w:r>
        <w:rPr>
          <w:color w:val="26282C"/>
          <w:sz w:val="22"/>
          <w:szCs w:val="22"/>
        </w:rPr>
        <w:t xml:space="preserve">After governance, the same pattern repeats in reverse: a verdict can request refinement from specific personas, but only up to a fixed round limit, and only for personas on the evidence allow-list — so a model can't argue its way into an unbounded loop:</w:t>
      </w:r>
    </w:p>
    <w:tbl>
      <w:tblPr>
        <w:tblW w:type="pct" w:w="100%"/>
        <w:tblBorders>
          <w:top w:val="single" w:color="D8DCE2" w:sz="2"/>
          <w:left w:val="single" w:color="D8DCE2" w:sz="2"/>
          <w:bottom w:val="single" w:color="D8DCE2" w:sz="2"/>
          <w:right w:val="single" w:color="D8DCE2" w:sz="2"/>
          <w:insideH w:val="none" w:color="FFFFFF" w:sz="0"/>
          <w:insideV w:val="none" w:color="FFFFFF" w:sz="0"/>
        </w:tblBorders>
      </w:tblPr>
      <w:tblGrid>
        <w:gridCol w:w="100"/>
      </w:tblGrid>
      <w:tr>
        <w:tc>
          <w:tcPr>
            <w:shd w:fill="F4F5F7" w:color="auto" w:val="clear"/>
            <w:tcMar>
              <w:top w:type="dxa" w:w="160"/>
              <w:left w:type="dxa" w:w="220"/>
              <w:bottom w:type="dxa" w:w="160"/>
              <w:right w:type="dxa" w:w="220"/>
            </w:tcMar>
          </w:tcPr>
          <w:p>
            <w:pPr>
              <w:spacing w:after="0"/>
            </w:pPr>
            <w:r>
              <w:rPr>
                <w:rFonts w:ascii="Consolas" w:cs="Consolas" w:eastAsia="Consolas" w:hAnsi="Consolas"/>
                <w:color w:val="1B1F24"/>
                <w:sz w:val="18"/>
                <w:szCs w:val="18"/>
              </w:rPr>
              <w:t xml:space="preserve">def _route_after_governance(state: AgentState, max_refinement_rounds: int):</w:t>
            </w:r>
          </w:p>
          <w:p>
            <w:pPr>
              <w:spacing w:after="0"/>
            </w:pPr>
            <w:r>
              <w:rPr>
                <w:rFonts w:ascii="Consolas" w:cs="Consolas" w:eastAsia="Consolas" w:hAnsi="Consolas"/>
                <w:color w:val="1B1F24"/>
                <w:sz w:val="18"/>
                <w:szCs w:val="18"/>
              </w:rPr>
              <w:t xml:space="preserve">    verdict = state.get("governance_verdict", {})</w:t>
            </w:r>
          </w:p>
          <w:p>
            <w:pPr>
              <w:spacing w:after="0"/>
            </w:pPr>
            <w:r>
              <w:rPr>
                <w:rFonts w:ascii="Consolas" w:cs="Consolas" w:eastAsia="Consolas" w:hAnsi="Consolas"/>
                <w:color w:val="1B1F24"/>
                <w:sz w:val="18"/>
                <w:szCs w:val="18"/>
              </w:rPr>
              <w:t xml:space="preserve">    requested = [</w:t>
            </w:r>
          </w:p>
          <w:p>
            <w:pPr>
              <w:spacing w:after="0"/>
            </w:pPr>
            <w:r>
              <w:rPr>
                <w:rFonts w:ascii="Consolas" w:cs="Consolas" w:eastAsia="Consolas" w:hAnsi="Consolas"/>
                <w:color w:val="1B1F24"/>
                <w:sz w:val="18"/>
                <w:szCs w:val="18"/>
              </w:rPr>
              <w:t xml:space="preserve">        name for name in verdict.get("refinement_personas", [])</w:t>
            </w:r>
          </w:p>
          <w:p>
            <w:pPr>
              <w:spacing w:after="0"/>
            </w:pPr>
            <w:r>
              <w:rPr>
                <w:rFonts w:ascii="Consolas" w:cs="Consolas" w:eastAsia="Consolas" w:hAnsi="Consolas"/>
                <w:color w:val="1B1F24"/>
                <w:sz w:val="18"/>
                <w:szCs w:val="18"/>
              </w:rPr>
              <w:t xml:space="preserve">        if name in EVIDENCE_PERSONAS</w:t>
            </w:r>
          </w:p>
          <w:p>
            <w:pPr>
              <w:spacing w:after="0"/>
            </w:pPr>
            <w:r>
              <w:rPr>
                <w:rFonts w:ascii="Consolas" w:cs="Consolas" w:eastAsia="Consolas" w:hAnsi="Consolas"/>
                <w:color w:val="1B1F24"/>
                <w:sz w:val="18"/>
                <w:szCs w:val="18"/>
              </w:rPr>
              <w:t xml:space="preserve">    ]</w:t>
            </w:r>
          </w:p>
          <w:p>
            <w:pPr>
              <w:spacing w:after="0"/>
            </w:pPr>
            <w:r>
              <w:rPr>
                <w:rFonts w:ascii="Consolas" w:cs="Consolas" w:eastAsia="Consolas" w:hAnsi="Consolas"/>
                <w:color w:val="1B1F24"/>
                <w:sz w:val="18"/>
                <w:szCs w:val="18"/>
              </w:rPr>
              <w:t xml:space="preserve">    if requested and state.get("refinement_count", 0) &lt; max_refinement_rounds:</w:t>
            </w:r>
          </w:p>
          <w:p>
            <w:pPr>
              <w:spacing w:after="0"/>
            </w:pPr>
            <w:r>
              <w:rPr>
                <w:rFonts w:ascii="Consolas" w:cs="Consolas" w:eastAsia="Consolas" w:hAnsi="Consolas"/>
                <w:color w:val="1B1F24"/>
                <w:sz w:val="18"/>
                <w:szCs w:val="18"/>
              </w:rPr>
              <w:t xml:space="preserve">        return [Send("evidence_specialist", _specialist_input(state, name, refinement=True))</w:t>
            </w:r>
          </w:p>
          <w:p>
            <w:pPr>
              <w:spacing w:after="0"/>
            </w:pPr>
            <w:r>
              <w:rPr>
                <w:rFonts w:ascii="Consolas" w:cs="Consolas" w:eastAsia="Consolas" w:hAnsi="Consolas"/>
                <w:color w:val="1B1F24"/>
                <w:sz w:val="18"/>
                <w:szCs w:val="18"/>
              </w:rPr>
              <w:t xml:space="preserve">                for name in requested]</w:t>
            </w:r>
          </w:p>
          <w:p>
            <w:pPr>
              <w:spacing w:after="0"/>
            </w:pPr>
            <w:r>
              <w:rPr>
                <w:rFonts w:ascii="Consolas" w:cs="Consolas" w:eastAsia="Consolas" w:hAnsi="Consolas"/>
                <w:color w:val="1B1F24"/>
                <w:sz w:val="18"/>
                <w:szCs w:val="18"/>
              </w:rPr>
              <w:t xml:space="preserve">    return "communicate"</w:t>
            </w:r>
          </w:p>
        </w:tc>
      </w:tr>
    </w:tbl>
    <w:p>
      <w:pPr>
        <w:spacing w:after="260" w:before="60"/>
      </w:pPr>
      <w:r>
        <w:rPr>
          <w:i/>
          <w:iCs/>
          <w:color w:val="6B7280"/>
          <w:sz w:val="19"/>
          <w:szCs w:val="19"/>
        </w:rPr>
        <w:t xml:space="preserve">src/agents/graph.py — refinement is bounded in code (max_refinement_rounds), not by asking the model politely to stop.</w:t>
      </w:r>
    </w:p>
    <w:p>
      <w:pPr>
        <w:spacing w:after="200"/>
      </w:pPr>
    </w:p>
    <w:p>
      <w:pPr>
        <w:pStyle w:val="Heading1"/>
        <w:pBdr>
          <w:bottom w:val="single" w:color="C9CED6" w:sz="6" w:space="4"/>
        </w:pBdr>
        <w:spacing w:after="160" w:before="420"/>
      </w:pPr>
      <w:r>
        <w:rPr>
          <w:b/>
          <w:bCs/>
          <w:color w:val="1F2937"/>
          <w:sz w:val="30"/>
          <w:szCs w:val="30"/>
        </w:rPr>
        <w:t xml:space="preserve">Personas are selected by evidence need — not by job-title theatre</w:t>
      </w:r>
    </w:p>
    <w:p>
      <w:pPr>
        <w:spacing w:after="200"/>
      </w:pPr>
      <w:r>
        <w:rPr>
          <w:i/>
          <w:iCs/>
          <w:color w:val="555B66"/>
          <w:sz w:val="22"/>
          <w:szCs w:val="22"/>
        </w:rPr>
        <w:t xml:space="preserve">More agents are not automatically better. Each persona must own a distinct decision boundary.</w:t>
      </w:r>
    </w:p>
    <w:tbl>
      <w:tblPr>
        <w:tblW w:type="dxa" w:w="9360"/>
        <w:tblBorders>
          <w:top w:val="single" w:color="C9CED6" w:sz="2"/>
          <w:left w:val="single" w:color="C9CED6" w:sz="2"/>
          <w:bottom w:val="single" w:color="C9CED6" w:sz="2"/>
          <w:right w:val="single" w:color="C9CED6" w:sz="2"/>
          <w:insideH w:val="single" w:color="C9CED6" w:sz="2"/>
          <w:insideV w:val="single" w:color="C9CED6" w:sz="2"/>
        </w:tblBorders>
      </w:tblPr>
      <w:tblGrid>
        <w:gridCol w:w="3200"/>
        <w:gridCol w:w="2600"/>
        <w:gridCol w:w="3560"/>
      </w:tblGrid>
      <w:tr>
        <w:trPr>
          <w:tblHeader/>
        </w:trPr>
        <w:tc>
          <w:tcPr>
            <w:tcW w:type="dxa" w:w="3200"/>
            <w:shd w:fill="1F2937" w:color="auto" w:val="clear"/>
            <w:tcMar>
              <w:top w:type="dxa" w:w="120"/>
              <w:left w:type="dxa" w:w="160"/>
              <w:bottom w:type="dxa" w:w="120"/>
              <w:right w:type="dxa" w:w="160"/>
            </w:tcMar>
          </w:tcPr>
          <w:p>
            <w:pPr>
              <w:spacing w:after="0"/>
            </w:pPr>
            <w:r>
              <w:rPr>
                <w:b/>
                <w:bCs/>
                <w:color w:val="FFFFFF"/>
                <w:sz w:val="20"/>
                <w:szCs w:val="20"/>
              </w:rPr>
              <w:t xml:space="preserve">When the request needs...</w:t>
            </w:r>
          </w:p>
        </w:tc>
        <w:tc>
          <w:tcPr>
            <w:tcW w:type="dxa" w:w="2600"/>
            <w:shd w:fill="1F2937" w:color="auto" w:val="clear"/>
            <w:tcMar>
              <w:top w:type="dxa" w:w="120"/>
              <w:left w:type="dxa" w:w="160"/>
              <w:bottom w:type="dxa" w:w="120"/>
              <w:right w:type="dxa" w:w="160"/>
            </w:tcMar>
          </w:tcPr>
          <w:p>
            <w:pPr>
              <w:spacing w:after="0"/>
            </w:pPr>
            <w:r>
              <w:rPr>
                <w:b/>
                <w:bCs/>
                <w:color w:val="FFFFFF"/>
                <w:sz w:val="20"/>
                <w:szCs w:val="20"/>
              </w:rPr>
              <w:t xml:space="preserve">Persona selected</w:t>
            </w:r>
          </w:p>
        </w:tc>
        <w:tc>
          <w:tcPr>
            <w:tcW w:type="dxa" w:w="3560"/>
            <w:shd w:fill="1F2937" w:color="auto" w:val="clear"/>
            <w:tcMar>
              <w:top w:type="dxa" w:w="120"/>
              <w:left w:type="dxa" w:w="160"/>
              <w:bottom w:type="dxa" w:w="120"/>
              <w:right w:type="dxa" w:w="160"/>
            </w:tcMar>
          </w:tcPr>
          <w:p>
            <w:pPr>
              <w:spacing w:after="0"/>
            </w:pPr>
            <w:r>
              <w:rPr>
                <w:b/>
                <w:bCs/>
                <w:color w:val="FFFFFF"/>
                <w:sz w:val="20"/>
                <w:szCs w:val="20"/>
              </w:rPr>
              <w:t xml:space="preserve">Why</w:t>
            </w:r>
          </w:p>
        </w:tc>
      </w:tr>
      <w:tr>
        <w:tc>
          <w:tcPr>
            <w:tcW w:type="dxa" w:w="3200"/>
            <w:tcMar>
              <w:top w:type="dxa" w:w="120"/>
              <w:left w:type="dxa" w:w="160"/>
              <w:bottom w:type="dxa" w:w="120"/>
              <w:right w:type="dxa" w:w="160"/>
            </w:tcMar>
          </w:tcPr>
          <w:p>
            <w:pPr>
              <w:spacing w:after="0"/>
            </w:pPr>
            <w:r>
              <w:rPr>
                <w:b w:val="false"/>
                <w:bCs w:val="false"/>
                <w:color w:val="26282C"/>
                <w:sz w:val="20"/>
                <w:szCs w:val="20"/>
              </w:rPr>
              <w:t xml:space="preserve">Intent classification and a bounded plan</w:t>
            </w:r>
          </w:p>
        </w:tc>
        <w:tc>
          <w:tcPr>
            <w:tcW w:type="dxa" w:w="2600"/>
            <w:tcMar>
              <w:top w:type="dxa" w:w="120"/>
              <w:left w:type="dxa" w:w="160"/>
              <w:bottom w:type="dxa" w:w="120"/>
              <w:right w:type="dxa" w:w="160"/>
            </w:tcMar>
          </w:tcPr>
          <w:p>
            <w:pPr>
              <w:spacing w:after="0"/>
            </w:pPr>
            <w:r>
              <w:rPr>
                <w:b w:val="false"/>
                <w:bCs w:val="false"/>
                <w:color w:val="26282C"/>
                <w:sz w:val="20"/>
                <w:szCs w:val="20"/>
              </w:rPr>
              <w:t xml:space="preserve">FinOps Orchestrator</w:t>
            </w:r>
          </w:p>
        </w:tc>
        <w:tc>
          <w:tcPr>
            <w:tcW w:type="dxa" w:w="3560"/>
            <w:tcMar>
              <w:top w:type="dxa" w:w="120"/>
              <w:left w:type="dxa" w:w="160"/>
              <w:bottom w:type="dxa" w:w="120"/>
              <w:right w:type="dxa" w:w="160"/>
            </w:tcMar>
          </w:tcPr>
          <w:p>
            <w:pPr>
              <w:spacing w:after="0"/>
            </w:pPr>
            <w:r>
              <w:rPr>
                <w:b w:val="false"/>
                <w:bCs w:val="false"/>
                <w:color w:val="26282C"/>
                <w:sz w:val="20"/>
                <w:szCs w:val="20"/>
              </w:rPr>
              <w:t xml:space="preserve">Keeps routing separate from specialist conclusions.</w:t>
            </w:r>
          </w:p>
        </w:tc>
      </w:tr>
      <w:tr>
        <w:tc>
          <w:tcPr>
            <w:tcW w:type="dxa" w:w="3200"/>
            <w:shd w:fill="F7F8FA" w:color="auto" w:val="clear"/>
            <w:tcMar>
              <w:top w:type="dxa" w:w="120"/>
              <w:left w:type="dxa" w:w="160"/>
              <w:bottom w:type="dxa" w:w="120"/>
              <w:right w:type="dxa" w:w="160"/>
            </w:tcMar>
          </w:tcPr>
          <w:p>
            <w:pPr>
              <w:spacing w:after="0"/>
            </w:pPr>
            <w:r>
              <w:rPr>
                <w:b w:val="false"/>
                <w:bCs w:val="false"/>
                <w:color w:val="26282C"/>
                <w:sz w:val="20"/>
                <w:szCs w:val="20"/>
              </w:rPr>
              <w:t xml:space="preserve">Spend trend, top services, or cost concentration</w:t>
            </w:r>
          </w:p>
        </w:tc>
        <w:tc>
          <w:tcPr>
            <w:tcW w:type="dxa" w:w="2600"/>
            <w:shd w:fill="F7F8FA" w:color="auto" w:val="clear"/>
            <w:tcMar>
              <w:top w:type="dxa" w:w="120"/>
              <w:left w:type="dxa" w:w="160"/>
              <w:bottom w:type="dxa" w:w="120"/>
              <w:right w:type="dxa" w:w="160"/>
            </w:tcMar>
          </w:tcPr>
          <w:p>
            <w:pPr>
              <w:spacing w:after="0"/>
            </w:pPr>
            <w:r>
              <w:rPr>
                <w:b w:val="false"/>
                <w:bCs w:val="false"/>
                <w:color w:val="26282C"/>
                <w:sz w:val="20"/>
                <w:szCs w:val="20"/>
              </w:rPr>
              <w:t xml:space="preserve">Cost Analyst</w:t>
            </w:r>
          </w:p>
        </w:tc>
        <w:tc>
          <w:tcPr>
            <w:tcW w:type="dxa" w:w="3560"/>
            <w:shd w:fill="F7F8FA" w:color="auto" w:val="clear"/>
            <w:tcMar>
              <w:top w:type="dxa" w:w="120"/>
              <w:left w:type="dxa" w:w="160"/>
              <w:bottom w:type="dxa" w:w="120"/>
              <w:right w:type="dxa" w:w="160"/>
            </w:tcMar>
          </w:tcPr>
          <w:p>
            <w:pPr>
              <w:spacing w:after="0"/>
            </w:pPr>
            <w:r>
              <w:rPr>
                <w:b w:val="false"/>
                <w:bCs w:val="false"/>
                <w:color w:val="26282C"/>
                <w:sz w:val="20"/>
                <w:szCs w:val="20"/>
              </w:rPr>
              <w:t xml:space="preserve">Has access only to canonical cost-summary evidence.</w:t>
            </w:r>
          </w:p>
        </w:tc>
      </w:tr>
      <w:tr>
        <w:tc>
          <w:tcPr>
            <w:tcW w:type="dxa" w:w="3200"/>
            <w:tcMar>
              <w:top w:type="dxa" w:w="120"/>
              <w:left w:type="dxa" w:w="160"/>
              <w:bottom w:type="dxa" w:w="120"/>
              <w:right w:type="dxa" w:w="160"/>
            </w:tcMar>
          </w:tcPr>
          <w:p>
            <w:pPr>
              <w:spacing w:after="0"/>
            </w:pPr>
            <w:r>
              <w:rPr>
                <w:b w:val="false"/>
                <w:bCs w:val="false"/>
                <w:color w:val="26282C"/>
                <w:sz w:val="20"/>
                <w:szCs w:val="20"/>
              </w:rPr>
              <w:t xml:space="preserve">Resource shape, region, inventory, or architecture context</w:t>
            </w:r>
          </w:p>
        </w:tc>
        <w:tc>
          <w:tcPr>
            <w:tcW w:type="dxa" w:w="2600"/>
            <w:tcMar>
              <w:top w:type="dxa" w:w="120"/>
              <w:left w:type="dxa" w:w="160"/>
              <w:bottom w:type="dxa" w:w="120"/>
              <w:right w:type="dxa" w:w="160"/>
            </w:tcMar>
          </w:tcPr>
          <w:p>
            <w:pPr>
              <w:spacing w:after="0"/>
            </w:pPr>
            <w:r>
              <w:rPr>
                <w:b w:val="false"/>
                <w:bCs w:val="false"/>
                <w:color w:val="26282C"/>
                <w:sz w:val="20"/>
                <w:szCs w:val="20"/>
              </w:rPr>
              <w:t xml:space="preserve">Cloud Architect</w:t>
            </w:r>
          </w:p>
        </w:tc>
        <w:tc>
          <w:tcPr>
            <w:tcW w:type="dxa" w:w="3560"/>
            <w:tcMar>
              <w:top w:type="dxa" w:w="120"/>
              <w:left w:type="dxa" w:w="160"/>
              <w:bottom w:type="dxa" w:w="120"/>
              <w:right w:type="dxa" w:w="160"/>
            </w:tcMar>
          </w:tcPr>
          <w:p>
            <w:pPr>
              <w:spacing w:after="0"/>
            </w:pPr>
            <w:r>
              <w:rPr>
                <w:b w:val="false"/>
                <w:bCs w:val="false"/>
                <w:color w:val="26282C"/>
                <w:sz w:val="20"/>
                <w:szCs w:val="20"/>
              </w:rPr>
              <w:t xml:space="preserve">Adds technical context without calculating financial truth.</w:t>
            </w:r>
          </w:p>
        </w:tc>
      </w:tr>
      <w:tr>
        <w:tc>
          <w:tcPr>
            <w:tcW w:type="dxa" w:w="3200"/>
            <w:shd w:fill="F7F8FA" w:color="auto" w:val="clear"/>
            <w:tcMar>
              <w:top w:type="dxa" w:w="120"/>
              <w:left w:type="dxa" w:w="160"/>
              <w:bottom w:type="dxa" w:w="120"/>
              <w:right w:type="dxa" w:w="160"/>
            </w:tcMar>
          </w:tcPr>
          <w:p>
            <w:pPr>
              <w:spacing w:after="0"/>
            </w:pPr>
            <w:r>
              <w:rPr>
                <w:b w:val="false"/>
                <w:bCs w:val="false"/>
                <w:color w:val="26282C"/>
                <w:sz w:val="20"/>
                <w:szCs w:val="20"/>
              </w:rPr>
              <w:t xml:space="preserve">A concrete action assembled from verified findings</w:t>
            </w:r>
          </w:p>
        </w:tc>
        <w:tc>
          <w:tcPr>
            <w:tcW w:type="dxa" w:w="2600"/>
            <w:shd w:fill="F7F8FA" w:color="auto" w:val="clear"/>
            <w:tcMar>
              <w:top w:type="dxa" w:w="120"/>
              <w:left w:type="dxa" w:w="160"/>
              <w:bottom w:type="dxa" w:w="120"/>
              <w:right w:type="dxa" w:w="160"/>
            </w:tcMar>
          </w:tcPr>
          <w:p>
            <w:pPr>
              <w:spacing w:after="0"/>
            </w:pPr>
            <w:r>
              <w:rPr>
                <w:b w:val="false"/>
                <w:bCs w:val="false"/>
                <w:color w:val="26282C"/>
                <w:sz w:val="20"/>
                <w:szCs w:val="20"/>
              </w:rPr>
              <w:t xml:space="preserve">Optimization Specialist</w:t>
            </w:r>
          </w:p>
        </w:tc>
        <w:tc>
          <w:tcPr>
            <w:tcW w:type="dxa" w:w="3560"/>
            <w:shd w:fill="F7F8FA" w:color="auto" w:val="clear"/>
            <w:tcMar>
              <w:top w:type="dxa" w:w="120"/>
              <w:left w:type="dxa" w:w="160"/>
              <w:bottom w:type="dxa" w:w="120"/>
              <w:right w:type="dxa" w:w="160"/>
            </w:tcMar>
          </w:tcPr>
          <w:p>
            <w:pPr>
              <w:spacing w:after="0"/>
            </w:pPr>
            <w:r>
              <w:rPr>
                <w:b w:val="false"/>
                <w:bCs w:val="false"/>
                <w:color w:val="26282C"/>
                <w:sz w:val="20"/>
                <w:szCs w:val="20"/>
              </w:rPr>
              <w:t xml:space="preserve">Separates evidence collection from recommendation synthesis.</w:t>
            </w:r>
          </w:p>
        </w:tc>
      </w:tr>
      <w:tr>
        <w:tc>
          <w:tcPr>
            <w:tcW w:type="dxa" w:w="3200"/>
            <w:tcMar>
              <w:top w:type="dxa" w:w="120"/>
              <w:left w:type="dxa" w:w="160"/>
              <w:bottom w:type="dxa" w:w="120"/>
              <w:right w:type="dxa" w:w="160"/>
            </w:tcMar>
          </w:tcPr>
          <w:p>
            <w:pPr>
              <w:spacing w:after="0"/>
            </w:pPr>
            <w:r>
              <w:rPr>
                <w:b w:val="false"/>
                <w:bCs w:val="false"/>
                <w:color w:val="26282C"/>
                <w:sz w:val="20"/>
                <w:szCs w:val="20"/>
              </w:rPr>
              <w:t xml:space="preserve">Risk, conflicts, uncertainty, or policy review</w:t>
            </w:r>
          </w:p>
        </w:tc>
        <w:tc>
          <w:tcPr>
            <w:tcW w:type="dxa" w:w="2600"/>
            <w:tcMar>
              <w:top w:type="dxa" w:w="120"/>
              <w:left w:type="dxa" w:w="160"/>
              <w:bottom w:type="dxa" w:w="120"/>
              <w:right w:type="dxa" w:w="160"/>
            </w:tcMar>
          </w:tcPr>
          <w:p>
            <w:pPr>
              <w:spacing w:after="0"/>
            </w:pPr>
            <w:r>
              <w:rPr>
                <w:b w:val="false"/>
                <w:bCs w:val="false"/>
                <w:color w:val="26282C"/>
                <w:sz w:val="20"/>
                <w:szCs w:val="20"/>
              </w:rPr>
              <w:t xml:space="preserve">Risk &amp; Governance Reviewer</w:t>
            </w:r>
          </w:p>
        </w:tc>
        <w:tc>
          <w:tcPr>
            <w:tcW w:type="dxa" w:w="3560"/>
            <w:tcMar>
              <w:top w:type="dxa" w:w="120"/>
              <w:left w:type="dxa" w:w="160"/>
              <w:bottom w:type="dxa" w:w="120"/>
              <w:right w:type="dxa" w:w="160"/>
            </w:tcMar>
          </w:tcPr>
          <w:p>
            <w:pPr>
              <w:spacing w:after="0"/>
            </w:pPr>
            <w:r>
              <w:rPr>
                <w:b w:val="false"/>
                <w:bCs w:val="false"/>
                <w:color w:val="26282C"/>
                <w:sz w:val="20"/>
                <w:szCs w:val="20"/>
              </w:rPr>
              <w:t xml:space="preserve">Creates an independent gate before communication.</w:t>
            </w:r>
          </w:p>
        </w:tc>
      </w:tr>
      <w:tr>
        <w:tc>
          <w:tcPr>
            <w:tcW w:type="dxa" w:w="3200"/>
            <w:shd w:fill="F7F8FA" w:color="auto" w:val="clear"/>
            <w:tcMar>
              <w:top w:type="dxa" w:w="120"/>
              <w:left w:type="dxa" w:w="160"/>
              <w:bottom w:type="dxa" w:w="120"/>
              <w:right w:type="dxa" w:w="160"/>
            </w:tcMar>
          </w:tcPr>
          <w:p>
            <w:pPr>
              <w:spacing w:after="0"/>
            </w:pPr>
            <w:r>
              <w:rPr>
                <w:b w:val="false"/>
                <w:bCs w:val="false"/>
                <w:color w:val="26282C"/>
                <w:sz w:val="20"/>
                <w:szCs w:val="20"/>
              </w:rPr>
              <w:t xml:space="preserve">A decision-ready summary</w:t>
            </w:r>
          </w:p>
        </w:tc>
        <w:tc>
          <w:tcPr>
            <w:tcW w:type="dxa" w:w="2600"/>
            <w:shd w:fill="F7F8FA" w:color="auto" w:val="clear"/>
            <w:tcMar>
              <w:top w:type="dxa" w:w="120"/>
              <w:left w:type="dxa" w:w="160"/>
              <w:bottom w:type="dxa" w:w="120"/>
              <w:right w:type="dxa" w:w="160"/>
            </w:tcMar>
          </w:tcPr>
          <w:p>
            <w:pPr>
              <w:spacing w:after="0"/>
            </w:pPr>
            <w:r>
              <w:rPr>
                <w:b w:val="false"/>
                <w:bCs w:val="false"/>
                <w:color w:val="26282C"/>
                <w:sz w:val="20"/>
                <w:szCs w:val="20"/>
              </w:rPr>
              <w:t xml:space="preserve">Executive Communicator</w:t>
            </w:r>
          </w:p>
        </w:tc>
        <w:tc>
          <w:tcPr>
            <w:tcW w:type="dxa" w:w="3560"/>
            <w:shd w:fill="F7F8FA" w:color="auto" w:val="clear"/>
            <w:tcMar>
              <w:top w:type="dxa" w:w="120"/>
              <w:left w:type="dxa" w:w="160"/>
              <w:bottom w:type="dxa" w:w="120"/>
              <w:right w:type="dxa" w:w="160"/>
            </w:tcMar>
          </w:tcPr>
          <w:p>
            <w:pPr>
              <w:spacing w:after="0"/>
            </w:pPr>
            <w:r>
              <w:rPr>
                <w:b w:val="false"/>
                <w:bCs w:val="false"/>
                <w:color w:val="26282C"/>
                <w:sz w:val="20"/>
                <w:szCs w:val="20"/>
              </w:rPr>
              <w:t xml:space="preserve">Changes presentation, not evidence or approval state.</w:t>
            </w:r>
          </w:p>
        </w:tc>
      </w:tr>
    </w:tbl>
    <w:p>
      <w:pPr>
        <w:spacing w:after="160"/>
      </w:pPr>
    </w:p>
    <w:p>
      <w:pPr>
        <w:spacing w:after="200"/>
      </w:pPr>
      <w:r>
        <w:rPr>
          <w:color w:val="26282C"/>
          <w:sz w:val="22"/>
          <w:szCs w:val="22"/>
        </w:rPr>
        <w:t xml:space="preserve">The orchestrator doesn't call every persona by default — it selects the minimum evidence-producing specialists the question actually requires. The optimizer and governance reviewer are mandatory only for proposal workflows. The communicator runs after governance, deliberately, so that polished language can never be used to route around the control point.</w:t>
      </w:r>
    </w:p>
    <w:p>
      <w:pPr>
        <w:spacing w:after="200"/>
      </w:pPr>
      <w:r>
        <w:rPr>
          <w:color w:val="26282C"/>
          <w:sz w:val="22"/>
          <w:szCs w:val="22"/>
        </w:rPr>
        <w:t xml:space="preserve">Each persona is also a narrow, versioned contract rather than a personality. A persona's system prompt, prompt version, and — critically — its allowed tool list are declared once as data, not re-derived from a role description scattered across prompts:</w:t>
      </w:r>
    </w:p>
    <w:tbl>
      <w:tblPr>
        <w:tblW w:type="pct" w:w="100%"/>
        <w:tblBorders>
          <w:top w:val="single" w:color="D8DCE2" w:sz="2"/>
          <w:left w:val="single" w:color="D8DCE2" w:sz="2"/>
          <w:bottom w:val="single" w:color="D8DCE2" w:sz="2"/>
          <w:right w:val="single" w:color="D8DCE2" w:sz="2"/>
          <w:insideH w:val="none" w:color="FFFFFF" w:sz="0"/>
          <w:insideV w:val="none" w:color="FFFFFF" w:sz="0"/>
        </w:tblBorders>
      </w:tblPr>
      <w:tblGrid>
        <w:gridCol w:w="100"/>
      </w:tblGrid>
      <w:tr>
        <w:tc>
          <w:tcPr>
            <w:shd w:fill="F4F5F7" w:color="auto" w:val="clear"/>
            <w:tcMar>
              <w:top w:type="dxa" w:w="160"/>
              <w:left w:type="dxa" w:w="220"/>
              <w:bottom w:type="dxa" w:w="160"/>
              <w:right w:type="dxa" w:w="220"/>
            </w:tcMar>
          </w:tcPr>
          <w:p>
            <w:pPr>
              <w:spacing w:after="0"/>
            </w:pPr>
            <w:r>
              <w:rPr>
                <w:rFonts w:ascii="Consolas" w:cs="Consolas" w:eastAsia="Consolas" w:hAnsi="Consolas"/>
                <w:color w:val="1B1F24"/>
                <w:sz w:val="18"/>
                <w:szCs w:val="18"/>
              </w:rPr>
              <w:t xml:space="preserve">@dataclass(frozen=True)</w:t>
            </w:r>
          </w:p>
          <w:p>
            <w:pPr>
              <w:spacing w:after="0"/>
            </w:pPr>
            <w:r>
              <w:rPr>
                <w:rFonts w:ascii="Consolas" w:cs="Consolas" w:eastAsia="Consolas" w:hAnsi="Consolas"/>
                <w:color w:val="1B1F24"/>
                <w:sz w:val="18"/>
                <w:szCs w:val="18"/>
              </w:rPr>
              <w:t xml:space="preserve">class PersonaContract:</w:t>
            </w:r>
          </w:p>
          <w:p>
            <w:pPr>
              <w:spacing w:after="0"/>
            </w:pPr>
            <w:r>
              <w:rPr>
                <w:rFonts w:ascii="Consolas" w:cs="Consolas" w:eastAsia="Consolas" w:hAnsi="Consolas"/>
                <w:color w:val="1B1F24"/>
                <w:sz w:val="18"/>
                <w:szCs w:val="18"/>
              </w:rPr>
              <w:t xml:space="preserve">    name: str</w:t>
            </w:r>
          </w:p>
          <w:p>
            <w:pPr>
              <w:spacing w:after="0"/>
            </w:pPr>
            <w:r>
              <w:rPr>
                <w:rFonts w:ascii="Consolas" w:cs="Consolas" w:eastAsia="Consolas" w:hAnsi="Consolas"/>
                <w:color w:val="1B1F24"/>
                <w:sz w:val="18"/>
                <w:szCs w:val="18"/>
              </w:rPr>
              <w:t xml:space="preserve">    prompt_id: str</w:t>
            </w:r>
          </w:p>
          <w:p>
            <w:pPr>
              <w:spacing w:after="0"/>
            </w:pPr>
            <w:r>
              <w:rPr>
                <w:rFonts w:ascii="Consolas" w:cs="Consolas" w:eastAsia="Consolas" w:hAnsi="Consolas"/>
                <w:color w:val="1B1F24"/>
                <w:sz w:val="18"/>
                <w:szCs w:val="18"/>
              </w:rPr>
              <w:t xml:space="preserve">    prompt_version: str</w:t>
            </w:r>
          </w:p>
          <w:p>
            <w:pPr>
              <w:spacing w:after="0"/>
            </w:pPr>
            <w:r>
              <w:rPr>
                <w:rFonts w:ascii="Consolas" w:cs="Consolas" w:eastAsia="Consolas" w:hAnsi="Consolas"/>
                <w:color w:val="1B1F24"/>
                <w:sz w:val="18"/>
                <w:szCs w:val="18"/>
              </w:rPr>
              <w:t xml:space="preserve">    system_prompt: str</w:t>
            </w:r>
          </w:p>
          <w:p>
            <w:pPr>
              <w:spacing w:after="0"/>
            </w:pPr>
            <w:r>
              <w:rPr>
                <w:rFonts w:ascii="Consolas" w:cs="Consolas" w:eastAsia="Consolas" w:hAnsi="Consolas"/>
                <w:color w:val="1B1F24"/>
                <w:sz w:val="18"/>
                <w:szCs w:val="18"/>
              </w:rPr>
              <w:t xml:space="preserve">    allowed_tools: tuple[str, ...]</w:t>
            </w:r>
          </w:p>
          <w:p>
            <w:pPr>
              <w:spacing w:after="0"/>
            </w:pPr>
            <w:r>
              <w:rPr>
                <w:rFonts w:ascii="Consolas" w:cs="Consolas" w:eastAsia="Consolas" w:hAnsi="Consolas"/>
                <w:color w:val="1B1F24"/>
                <w:sz w:val="18"/>
                <w:szCs w:val="18"/>
              </w:rPr>
              <w:t xml:space="preserve"> </w:t>
            </w:r>
          </w:p>
          <w:p>
            <w:pPr>
              <w:spacing w:after="0"/>
            </w:pPr>
            <w:r>
              <w:rPr>
                <w:rFonts w:ascii="Consolas" w:cs="Consolas" w:eastAsia="Consolas" w:hAnsi="Consolas"/>
                <w:color w:val="1B1F24"/>
                <w:sz w:val="18"/>
                <w:szCs w:val="18"/>
              </w:rPr>
              <w:t xml:space="preserve">PERSONAS = {</w:t>
            </w:r>
          </w:p>
          <w:p>
            <w:pPr>
              <w:spacing w:after="0"/>
            </w:pPr>
            <w:r>
              <w:rPr>
                <w:rFonts w:ascii="Consolas" w:cs="Consolas" w:eastAsia="Consolas" w:hAnsi="Consolas"/>
                <w:color w:val="1B1F24"/>
                <w:sz w:val="18"/>
                <w:szCs w:val="18"/>
              </w:rPr>
              <w:t xml:space="preserve">    "cost_analyst": PersonaContract(</w:t>
            </w:r>
          </w:p>
          <w:p>
            <w:pPr>
              <w:spacing w:after="0"/>
            </w:pPr>
            <w:r>
              <w:rPr>
                <w:rFonts w:ascii="Consolas" w:cs="Consolas" w:eastAsia="Consolas" w:hAnsi="Consolas"/>
                <w:color w:val="1B1F24"/>
                <w:sz w:val="18"/>
                <w:szCs w:val="18"/>
              </w:rPr>
              <w:t xml:space="preserve">        "cost_analyst", "cost-analyst", "1.0.0",</w:t>
            </w:r>
          </w:p>
          <w:p>
            <w:pPr>
              <w:spacing w:after="0"/>
            </w:pPr>
            <w:r>
              <w:rPr>
                <w:rFonts w:ascii="Consolas" w:cs="Consolas" w:eastAsia="Consolas" w:hAnsi="Consolas"/>
                <w:color w:val="1B1F24"/>
                <w:sz w:val="18"/>
                <w:szCs w:val="18"/>
              </w:rPr>
              <w:t xml:space="preserve">        f"Analyze spend, trends, recommendations, and anomalies "</w:t>
            </w:r>
          </w:p>
          <w:p>
            <w:pPr>
              <w:spacing w:after="0"/>
            </w:pPr>
            <w:r>
              <w:rPr>
                <w:rFonts w:ascii="Consolas" w:cs="Consolas" w:eastAsia="Consolas" w:hAnsi="Consolas"/>
                <w:color w:val="1B1F24"/>
                <w:sz w:val="18"/>
                <w:szCs w:val="18"/>
              </w:rPr>
              <w:t xml:space="preserve">        f"without inventing values. {_COMMON}",</w:t>
            </w:r>
          </w:p>
          <w:p>
            <w:pPr>
              <w:spacing w:after="0"/>
            </w:pPr>
            <w:r>
              <w:rPr>
                <w:rFonts w:ascii="Consolas" w:cs="Consolas" w:eastAsia="Consolas" w:hAnsi="Consolas"/>
                <w:color w:val="1B1F24"/>
                <w:sz w:val="18"/>
                <w:szCs w:val="18"/>
              </w:rPr>
              <w:t xml:space="preserve">        ("cost_summary",),</w:t>
            </w:r>
          </w:p>
          <w:p>
            <w:pPr>
              <w:spacing w:after="0"/>
            </w:pPr>
            <w:r>
              <w:rPr>
                <w:rFonts w:ascii="Consolas" w:cs="Consolas" w:eastAsia="Consolas" w:hAnsi="Consolas"/>
                <w:color w:val="1B1F24"/>
                <w:sz w:val="18"/>
                <w:szCs w:val="18"/>
              </w:rPr>
              <w:t xml:space="preserve">    ),</w:t>
            </w:r>
          </w:p>
          <w:p>
            <w:pPr>
              <w:spacing w:after="0"/>
            </w:pPr>
            <w:r>
              <w:rPr>
                <w:rFonts w:ascii="Consolas" w:cs="Consolas" w:eastAsia="Consolas" w:hAnsi="Consolas"/>
                <w:color w:val="1B1F24"/>
                <w:sz w:val="18"/>
                <w:szCs w:val="18"/>
              </w:rPr>
              <w:t xml:space="preserve">    "optimization_specialist": PersonaContract(</w:t>
            </w:r>
          </w:p>
          <w:p>
            <w:pPr>
              <w:spacing w:after="0"/>
            </w:pPr>
            <w:r>
              <w:rPr>
                <w:rFonts w:ascii="Consolas" w:cs="Consolas" w:eastAsia="Consolas" w:hAnsi="Consolas"/>
                <w:color w:val="1B1F24"/>
                <w:sz w:val="18"/>
                <w:szCs w:val="18"/>
              </w:rPr>
              <w:t xml:space="preserve">        "optimization_specialist", "optimization-specialist", "1.0.0",</w:t>
            </w:r>
          </w:p>
          <w:p>
            <w:pPr>
              <w:spacing w:after="0"/>
            </w:pPr>
            <w:r>
              <w:rPr>
                <w:rFonts w:ascii="Consolas" w:cs="Consolas" w:eastAsia="Consolas" w:hAnsi="Consolas"/>
                <w:color w:val="1B1F24"/>
                <w:sz w:val="18"/>
                <w:szCs w:val="18"/>
              </w:rPr>
              <w:t xml:space="preserve">        f"Turn verified findings into prioritized proposals "</w:t>
            </w:r>
          </w:p>
          <w:p>
            <w:pPr>
              <w:spacing w:after="0"/>
            </w:pPr>
            <w:r>
              <w:rPr>
                <w:rFonts w:ascii="Consolas" w:cs="Consolas" w:eastAsia="Consolas" w:hAnsi="Consolas"/>
                <w:color w:val="1B1F24"/>
                <w:sz w:val="18"/>
                <w:szCs w:val="18"/>
              </w:rPr>
              <w:t xml:space="preserve">        f"without changing deterministic savings. {_COMMON}", (),</w:t>
            </w:r>
          </w:p>
          <w:p>
            <w:pPr>
              <w:spacing w:after="0"/>
            </w:pPr>
            <w:r>
              <w:rPr>
                <w:rFonts w:ascii="Consolas" w:cs="Consolas" w:eastAsia="Consolas" w:hAnsi="Consolas"/>
                <w:color w:val="1B1F24"/>
                <w:sz w:val="18"/>
                <w:szCs w:val="18"/>
              </w:rPr>
              <w:t xml:space="preserve">    ),</w:t>
            </w:r>
          </w:p>
          <w:p>
            <w:pPr>
              <w:spacing w:after="0"/>
            </w:pPr>
            <w:r>
              <w:rPr>
                <w:rFonts w:ascii="Consolas" w:cs="Consolas" w:eastAsia="Consolas" w:hAnsi="Consolas"/>
                <w:color w:val="1B1F24"/>
                <w:sz w:val="18"/>
                <w:szCs w:val="18"/>
              </w:rPr>
              <w:t xml:space="preserve">    # ...</w:t>
            </w:r>
          </w:p>
          <w:p>
            <w:pPr>
              <w:spacing w:after="0"/>
            </w:pPr>
            <w:r>
              <w:rPr>
                <w:rFonts w:ascii="Consolas" w:cs="Consolas" w:eastAsia="Consolas" w:hAnsi="Consolas"/>
                <w:color w:val="1B1F24"/>
                <w:sz w:val="18"/>
                <w:szCs w:val="18"/>
              </w:rPr>
              <w:t xml:space="preserve">}</w:t>
            </w:r>
          </w:p>
        </w:tc>
      </w:tr>
    </w:tbl>
    <w:p>
      <w:pPr>
        <w:spacing w:after="260" w:before="60"/>
      </w:pPr>
      <w:r>
        <w:rPr>
          <w:i/>
          <w:iCs/>
          <w:color w:val="6B7280"/>
          <w:sz w:val="19"/>
          <w:szCs w:val="19"/>
        </w:rPr>
        <w:t xml:space="preserve">src/agents/personas/contracts.py — the Cost Analyst's allowed_tools is a one-item tuple. It cannot ask for inventory data even if the model wants it to.</w:t>
      </w:r>
    </w:p>
    <w:p>
      <w:pPr>
        <w:spacing w:after="200"/>
      </w:pPr>
      <w:r>
        <w:rPr>
          <w:color w:val="26282C"/>
          <w:sz w:val="22"/>
          <w:szCs w:val="22"/>
        </w:rPr>
        <w:t xml:space="preserve">A new persona earns its place when it needs a distinct contract, evidence source, policy, or evaluation suite — not merely because another title sounds plausible. That rule keeps orchestration understandable and avoids token-heavy agent debates that produce no additional evidence.</w:t>
      </w:r>
    </w:p>
    <w:tbl>
      <w:tblPr>
        <w:tblW w:type="pct" w:w="100%"/>
        <w:tblBorders>
          <w:top w:val="single" w:color="2C5F8A" w:sz="4"/>
          <w:left w:val="single" w:color="C9CED6" w:sz="4"/>
          <w:bottom w:val="single" w:color="C9CED6" w:sz="4"/>
          <w:right w:val="single" w:color="C9CED6" w:sz="4"/>
          <w:insideH w:val="none" w:color="FFFFFF" w:sz="0"/>
          <w:insideV w:val="none" w:color="FFFFFF" w:sz="0"/>
        </w:tblBorders>
      </w:tblPr>
      <w:tblGrid>
        <w:gridCol w:w="100"/>
      </w:tblGrid>
      <w:tr>
        <w:tc>
          <w:tcPr>
            <w:shd w:fill="EEF2F6" w:color="auto" w:val="clear"/>
            <w:tcMar>
              <w:top w:type="dxa" w:w="180"/>
              <w:left w:type="dxa" w:w="220"/>
              <w:bottom w:type="dxa" w:w="180"/>
              <w:right w:type="dxa" w:w="220"/>
            </w:tcMar>
          </w:tcPr>
          <w:p>
            <w:pPr>
              <w:spacing w:after="60"/>
            </w:pPr>
            <w:r>
              <w:rPr>
                <w:b/>
                <w:bCs/>
                <w:color w:val="2C5F8A"/>
                <w:sz w:val="21"/>
                <w:szCs w:val="21"/>
              </w:rPr>
              <w:t xml:space="preserve">Extension example</w:t>
            </w:r>
          </w:p>
          <w:p>
            <w:r>
              <w:rPr>
                <w:color w:val="26282C"/>
                <w:sz w:val="21"/>
                <w:szCs w:val="21"/>
              </w:rPr>
              <w:t xml:space="preserve">A Sustainability Analyst can be added later by registering carbon-intensity evidence, defining a narrow output contract, and adding one graph route — without changing cost collection or existing personas.</w:t>
            </w:r>
          </w:p>
        </w:tc>
      </w:tr>
    </w:tbl>
    <w:p>
      <w:pPr>
        <w:spacing w:after="300"/>
      </w:pPr>
    </w:p>
    <w:p>
      <w:pPr>
        <w:pStyle w:val="Heading1"/>
        <w:pBdr>
          <w:bottom w:val="single" w:color="C9CED6" w:sz="6" w:space="4"/>
        </w:pBdr>
        <w:spacing w:after="160" w:before="420"/>
      </w:pPr>
      <w:r>
        <w:rPr>
          <w:b/>
          <w:bCs/>
          <w:color w:val="1F2937"/>
          <w:sz w:val="30"/>
          <w:szCs w:val="30"/>
        </w:rPr>
        <w:t xml:space="preserve">Tools are the anti-coupling layer between AI and infrastructure</w:t>
      </w:r>
    </w:p>
    <w:p>
      <w:pPr>
        <w:spacing w:after="200"/>
      </w:pPr>
      <w:r>
        <w:rPr>
          <w:i/>
          <w:iCs/>
          <w:color w:val="555B66"/>
          <w:sz w:val="22"/>
          <w:szCs w:val="22"/>
        </w:rPr>
        <w:t xml:space="preserve">The model asks for evidence; application code decides whether and how that evidence may be retrieved.</w:t>
      </w:r>
    </w:p>
    <w:p>
      <w:pPr>
        <w:spacing w:after="200"/>
      </w:pPr>
      <w:r>
        <w:rPr>
          <w:color w:val="26282C"/>
          <w:sz w:val="22"/>
          <w:szCs w:val="22"/>
        </w:rPr>
        <w:t xml:space="preserve">Agents never receive database connections or Azure credentials. They receive schemas for allow-listed tools such as cost_summary and resource_inventory. Underneath, a registry validates arguments, checks persona authorization, applies timeouts, executes read-only code, and returns timestamped evidence IDs — none of which the model can see or influence.</w:t>
      </w:r>
    </w:p>
    <w:p>
      <w:pPr>
        <w:spacing w:after="200"/>
      </w:pPr>
      <w:r>
        <w:rPr>
          <w:color w:val="26282C"/>
          <w:sz w:val="22"/>
          <w:szCs w:val="22"/>
        </w:rPr>
        <w:t xml:space="preserve">The authorization check is two conditions, enforced in code before a tool ever runs: the tool has to be read-only, and the calling persona has to be explicitly granted access to it. Neither is a prompt instruction the model could talk its way around:</w:t>
      </w:r>
    </w:p>
    <w:tbl>
      <w:tblPr>
        <w:tblW w:type="pct" w:w="100%"/>
        <w:tblBorders>
          <w:top w:val="single" w:color="D8DCE2" w:sz="2"/>
          <w:left w:val="single" w:color="D8DCE2" w:sz="2"/>
          <w:bottom w:val="single" w:color="D8DCE2" w:sz="2"/>
          <w:right w:val="single" w:color="D8DCE2" w:sz="2"/>
          <w:insideH w:val="none" w:color="FFFFFF" w:sz="0"/>
          <w:insideV w:val="none" w:color="FFFFFF" w:sz="0"/>
        </w:tblBorders>
      </w:tblPr>
      <w:tblGrid>
        <w:gridCol w:w="100"/>
      </w:tblGrid>
      <w:tr>
        <w:tc>
          <w:tcPr>
            <w:shd w:fill="F4F5F7" w:color="auto" w:val="clear"/>
            <w:tcMar>
              <w:top w:type="dxa" w:w="160"/>
              <w:left w:type="dxa" w:w="220"/>
              <w:bottom w:type="dxa" w:w="160"/>
              <w:right w:type="dxa" w:w="220"/>
            </w:tcMar>
          </w:tcPr>
          <w:p>
            <w:pPr>
              <w:spacing w:after="0"/>
            </w:pPr>
            <w:r>
              <w:rPr>
                <w:rFonts w:ascii="Consolas" w:cs="Consolas" w:eastAsia="Consolas" w:hAnsi="Consolas"/>
                <w:color w:val="1B1F24"/>
                <w:sz w:val="18"/>
                <w:szCs w:val="18"/>
              </w:rPr>
              <w:t xml:space="preserve">class ToolPolicy:</w:t>
            </w:r>
          </w:p>
          <w:p>
            <w:pPr>
              <w:spacing w:after="0"/>
            </w:pPr>
            <w:r>
              <w:rPr>
                <w:rFonts w:ascii="Consolas" w:cs="Consolas" w:eastAsia="Consolas" w:hAnsi="Consolas"/>
                <w:color w:val="1B1F24"/>
                <w:sz w:val="18"/>
                <w:szCs w:val="18"/>
              </w:rPr>
              <w:t xml:space="preserve">    grants: dict[str, frozenset[str]]</w:t>
            </w:r>
          </w:p>
          <w:p>
            <w:pPr>
              <w:spacing w:after="0"/>
            </w:pPr>
            <w:r>
              <w:rPr>
                <w:rFonts w:ascii="Consolas" w:cs="Consolas" w:eastAsia="Consolas" w:hAnsi="Consolas"/>
                <w:color w:val="1B1F24"/>
                <w:sz w:val="18"/>
                <w:szCs w:val="18"/>
              </w:rPr>
              <w:t xml:space="preserve"> </w:t>
            </w:r>
          </w:p>
          <w:p>
            <w:pPr>
              <w:spacing w:after="0"/>
            </w:pPr>
            <w:r>
              <w:rPr>
                <w:rFonts w:ascii="Consolas" w:cs="Consolas" w:eastAsia="Consolas" w:hAnsi="Consolas"/>
                <w:color w:val="1B1F24"/>
                <w:sz w:val="18"/>
                <w:szCs w:val="18"/>
              </w:rPr>
              <w:t xml:space="preserve">    def authorize(self, persona: str, tool: AgentTool) -&gt; None:</w:t>
            </w:r>
          </w:p>
          <w:p>
            <w:pPr>
              <w:spacing w:after="0"/>
            </w:pPr>
            <w:r>
              <w:rPr>
                <w:rFonts w:ascii="Consolas" w:cs="Consolas" w:eastAsia="Consolas" w:hAnsi="Consolas"/>
                <w:color w:val="1B1F24"/>
                <w:sz w:val="18"/>
                <w:szCs w:val="18"/>
              </w:rPr>
              <w:t xml:space="preserve">        if not tool.read_only:</w:t>
            </w:r>
          </w:p>
          <w:p>
            <w:pPr>
              <w:spacing w:after="0"/>
            </w:pPr>
            <w:r>
              <w:rPr>
                <w:rFonts w:ascii="Consolas" w:cs="Consolas" w:eastAsia="Consolas" w:hAnsi="Consolas"/>
                <w:color w:val="1B1F24"/>
                <w:sz w:val="18"/>
                <w:szCs w:val="18"/>
              </w:rPr>
              <w:t xml:space="preserve">            raise ToolPolicyError(f"Tool is not read-only: {tool.name}")</w:t>
            </w:r>
          </w:p>
          <w:p>
            <w:pPr>
              <w:spacing w:after="0"/>
            </w:pPr>
            <w:r>
              <w:rPr>
                <w:rFonts w:ascii="Consolas" w:cs="Consolas" w:eastAsia="Consolas" w:hAnsi="Consolas"/>
                <w:color w:val="1B1F24"/>
                <w:sz w:val="18"/>
                <w:szCs w:val="18"/>
              </w:rPr>
              <w:t xml:space="preserve">        if tool.name not in self.grants.get(persona, frozenset()):</w:t>
            </w:r>
          </w:p>
          <w:p>
            <w:pPr>
              <w:spacing w:after="0"/>
            </w:pPr>
            <w:r>
              <w:rPr>
                <w:rFonts w:ascii="Consolas" w:cs="Consolas" w:eastAsia="Consolas" w:hAnsi="Consolas"/>
                <w:color w:val="1B1F24"/>
                <w:sz w:val="18"/>
                <w:szCs w:val="18"/>
              </w:rPr>
              <w:t xml:space="preserve">            raise ToolPolicyError(f"Persona {persona} may not invoke {tool.name}")</w:t>
            </w:r>
          </w:p>
        </w:tc>
      </w:tr>
    </w:tbl>
    <w:p>
      <w:pPr>
        <w:spacing w:after="260" w:before="60"/>
      </w:pPr>
      <w:r>
        <w:rPr>
          <w:i/>
          <w:iCs/>
          <w:color w:val="6B7280"/>
          <w:sz w:val="19"/>
          <w:szCs w:val="19"/>
        </w:rPr>
        <w:t xml:space="preserve">src/agents/tools/registry.py — every tool call passes through this before it touches real data.</w:t>
      </w:r>
    </w:p>
    <w:p>
      <w:pPr>
        <w:spacing w:after="200"/>
      </w:pPr>
      <w:r>
        <w:rPr>
          <w:color w:val="26282C"/>
          <w:sz w:val="22"/>
          <w:szCs w:val="22"/>
        </w:rPr>
        <w:t xml:space="preserve">This indirection is what makes the rest of the system cheap to change. Prompts can evolve without changing data access. Storage can evolve without changing prompts. Security policy stays enforceable in code instead of being expressed as a sentence the model may or may not follow. And it creates a clean extension seam: adding a capability means adding a tool adapter and an evidence contract, not teaching every persona about a new backend.</w:t>
      </w:r>
    </w:p>
    <w:p>
      <w:pPr>
        <w:spacing w:after="200"/>
      </w:pPr>
    </w:p>
    <w:p>
      <w:pPr>
        <w:pStyle w:val="Heading1"/>
        <w:pBdr>
          <w:bottom w:val="single" w:color="C9CED6" w:sz="6" w:space="4"/>
        </w:pBdr>
        <w:spacing w:after="160" w:before="420"/>
      </w:pPr>
      <w:r>
        <w:rPr>
          <w:b/>
          <w:bCs/>
          <w:color w:val="1F2937"/>
          <w:sz w:val="30"/>
          <w:szCs w:val="30"/>
        </w:rPr>
        <w:t xml:space="preserve">Governance is part of the graph, not a disclaimer</w:t>
      </w:r>
    </w:p>
    <w:p>
      <w:pPr>
        <w:spacing w:after="200"/>
      </w:pPr>
      <w:r>
        <w:rPr>
          <w:i/>
          <w:iCs/>
          <w:color w:val="555B66"/>
          <w:sz w:val="22"/>
          <w:szCs w:val="22"/>
        </w:rPr>
        <w:t xml:space="preserve">A recommendation is useful only when its evidence, uncertainty, risk, and approval status travel with it.</w:t>
      </w:r>
    </w:p>
    <w:p>
      <w:pPr>
        <w:spacing w:after="100"/>
        <w:jc w:val="center"/>
      </w:pPr>
      <w:r>
        <w:drawing>
          <wp:inline distT="0" distB="0" distL="0" distR="0">
            <wp:extent cx="471487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14875" cy="2752725"/>
                    </a:xfrm>
                    <a:prstGeom prst="rect">
                      <a:avLst/>
                    </a:prstGeom>
                  </pic:spPr>
                </pic:pic>
              </a:graphicData>
            </a:graphic>
          </wp:inline>
        </w:drawing>
      </w:r>
    </w:p>
    <w:p>
      <w:pPr>
        <w:spacing w:after="260"/>
        <w:jc w:val="center"/>
      </w:pPr>
      <w:r>
        <w:rPr>
          <w:i/>
          <w:iCs/>
          <w:color w:val="6B7280"/>
          <w:sz w:val="19"/>
          <w:szCs w:val="19"/>
        </w:rPr>
        <w:t xml:space="preserve">Product audit records remain separate from framework checkpoint state.</w:t>
      </w:r>
    </w:p>
    <w:p>
      <w:pPr>
        <w:spacing w:after="200"/>
      </w:pPr>
      <w:r>
        <w:rPr>
          <w:color w:val="26282C"/>
          <w:sz w:val="22"/>
          <w:szCs w:val="22"/>
        </w:rPr>
        <w:t xml:space="preserve">The proposal schema doesn't just recommend human approval in a comment — it makes a proposal impossible to construct without it. requires_human_approval is typed as Literal[True], so there's no valid instance of the object where that flag is false:</w:t>
      </w:r>
    </w:p>
    <w:tbl>
      <w:tblPr>
        <w:tblW w:type="pct" w:w="100%"/>
        <w:tblBorders>
          <w:top w:val="single" w:color="D8DCE2" w:sz="2"/>
          <w:left w:val="single" w:color="D8DCE2" w:sz="2"/>
          <w:bottom w:val="single" w:color="D8DCE2" w:sz="2"/>
          <w:right w:val="single" w:color="D8DCE2" w:sz="2"/>
          <w:insideH w:val="none" w:color="FFFFFF" w:sz="0"/>
          <w:insideV w:val="none" w:color="FFFFFF" w:sz="0"/>
        </w:tblBorders>
      </w:tblPr>
      <w:tblGrid>
        <w:gridCol w:w="100"/>
      </w:tblGrid>
      <w:tr>
        <w:tc>
          <w:tcPr>
            <w:shd w:fill="F4F5F7" w:color="auto" w:val="clear"/>
            <w:tcMar>
              <w:top w:type="dxa" w:w="160"/>
              <w:left w:type="dxa" w:w="220"/>
              <w:bottom w:type="dxa" w:w="160"/>
              <w:right w:type="dxa" w:w="220"/>
            </w:tcMar>
          </w:tcPr>
          <w:p>
            <w:pPr>
              <w:spacing w:after="0"/>
            </w:pPr>
            <w:r>
              <w:rPr>
                <w:rFonts w:ascii="Consolas" w:cs="Consolas" w:eastAsia="Consolas" w:hAnsi="Consolas"/>
                <w:color w:val="1B1F24"/>
                <w:sz w:val="18"/>
                <w:szCs w:val="18"/>
              </w:rPr>
              <w:t xml:space="preserve">class Proposal(BaseModel):</w:t>
            </w:r>
          </w:p>
          <w:p>
            <w:pPr>
              <w:spacing w:after="0"/>
            </w:pPr>
            <w:r>
              <w:rPr>
                <w:rFonts w:ascii="Consolas" w:cs="Consolas" w:eastAsia="Consolas" w:hAnsi="Consolas"/>
                <w:color w:val="1B1F24"/>
                <w:sz w:val="18"/>
                <w:szCs w:val="18"/>
              </w:rPr>
              <w:t xml:space="preserve">    title: str</w:t>
            </w:r>
          </w:p>
          <w:p>
            <w:pPr>
              <w:spacing w:after="0"/>
            </w:pPr>
            <w:r>
              <w:rPr>
                <w:rFonts w:ascii="Consolas" w:cs="Consolas" w:eastAsia="Consolas" w:hAnsi="Consolas"/>
                <w:color w:val="1B1F24"/>
                <w:sz w:val="18"/>
                <w:szCs w:val="18"/>
              </w:rPr>
              <w:t xml:space="preserve">    recommendation: str</w:t>
            </w:r>
          </w:p>
          <w:p>
            <w:pPr>
              <w:spacing w:after="0"/>
            </w:pPr>
            <w:r>
              <w:rPr>
                <w:rFonts w:ascii="Consolas" w:cs="Consolas" w:eastAsia="Consolas" w:hAnsi="Consolas"/>
                <w:color w:val="1B1F24"/>
                <w:sz w:val="18"/>
                <w:szCs w:val="18"/>
              </w:rPr>
              <w:t xml:space="preserve">    evidence_ids: list[str] = Field(min_length=1)</w:t>
            </w:r>
          </w:p>
          <w:p>
            <w:pPr>
              <w:spacing w:after="0"/>
            </w:pPr>
            <w:r>
              <w:rPr>
                <w:rFonts w:ascii="Consolas" w:cs="Consolas" w:eastAsia="Consolas" w:hAnsi="Consolas"/>
                <w:color w:val="1B1F24"/>
                <w:sz w:val="18"/>
                <w:szCs w:val="18"/>
              </w:rPr>
              <w:t xml:space="preserve">    potential_monthly_savings: float | None = Field(default=None, ge=0)</w:t>
            </w:r>
          </w:p>
          <w:p>
            <w:pPr>
              <w:spacing w:after="0"/>
            </w:pPr>
            <w:r>
              <w:rPr>
                <w:rFonts w:ascii="Consolas" w:cs="Consolas" w:eastAsia="Consolas" w:hAnsi="Consolas"/>
                <w:color w:val="1B1F24"/>
                <w:sz w:val="18"/>
                <w:szCs w:val="18"/>
              </w:rPr>
              <w:t xml:space="preserve">    confidence: float = Field(ge=0, le=1)</w:t>
            </w:r>
          </w:p>
          <w:p>
            <w:pPr>
              <w:spacing w:after="0"/>
            </w:pPr>
            <w:r>
              <w:rPr>
                <w:rFonts w:ascii="Consolas" w:cs="Consolas" w:eastAsia="Consolas" w:hAnsi="Consolas"/>
                <w:color w:val="1B1F24"/>
                <w:sz w:val="18"/>
                <w:szCs w:val="18"/>
              </w:rPr>
              <w:t xml:space="preserve">    risks: list[str] = Field(default_factory=list)</w:t>
            </w:r>
          </w:p>
          <w:p>
            <w:pPr>
              <w:spacing w:after="0"/>
            </w:pPr>
            <w:r>
              <w:rPr>
                <w:rFonts w:ascii="Consolas" w:cs="Consolas" w:eastAsia="Consolas" w:hAnsi="Consolas"/>
                <w:color w:val="1B1F24"/>
                <w:sz w:val="18"/>
                <w:szCs w:val="18"/>
              </w:rPr>
              <w:t xml:space="preserve">    requires_human_approval: Literal[True] = True</w:t>
            </w:r>
          </w:p>
          <w:p>
            <w:pPr>
              <w:spacing w:after="0"/>
            </w:pPr>
            <w:r>
              <w:rPr>
                <w:rFonts w:ascii="Consolas" w:cs="Consolas" w:eastAsia="Consolas" w:hAnsi="Consolas"/>
                <w:color w:val="1B1F24"/>
                <w:sz w:val="18"/>
                <w:szCs w:val="18"/>
              </w:rPr>
              <w:t xml:space="preserve"> </w:t>
            </w:r>
          </w:p>
          <w:p>
            <w:pPr>
              <w:spacing w:after="0"/>
            </w:pPr>
            <w:r>
              <w:rPr>
                <w:rFonts w:ascii="Consolas" w:cs="Consolas" w:eastAsia="Consolas" w:hAnsi="Consolas"/>
                <w:color w:val="1B1F24"/>
                <w:sz w:val="18"/>
                <w:szCs w:val="18"/>
              </w:rPr>
              <w:t xml:space="preserve">class GovernanceVerdict(BaseModel):</w:t>
            </w:r>
          </w:p>
          <w:p>
            <w:pPr>
              <w:spacing w:after="0"/>
            </w:pPr>
            <w:r>
              <w:rPr>
                <w:rFonts w:ascii="Consolas" w:cs="Consolas" w:eastAsia="Consolas" w:hAnsi="Consolas"/>
                <w:color w:val="1B1F24"/>
                <w:sz w:val="18"/>
                <w:szCs w:val="18"/>
              </w:rPr>
              <w:t xml:space="preserve">    approved_for_proposal: bool</w:t>
            </w:r>
          </w:p>
          <w:p>
            <w:pPr>
              <w:spacing w:after="0"/>
            </w:pPr>
            <w:r>
              <w:rPr>
                <w:rFonts w:ascii="Consolas" w:cs="Consolas" w:eastAsia="Consolas" w:hAnsi="Consolas"/>
                <w:color w:val="1B1F24"/>
                <w:sz w:val="18"/>
                <w:szCs w:val="18"/>
              </w:rPr>
              <w:t xml:space="preserve">    requires_human_approval: Literal[True] = True</w:t>
            </w:r>
          </w:p>
          <w:p>
            <w:pPr>
              <w:spacing w:after="0"/>
            </w:pPr>
            <w:r>
              <w:rPr>
                <w:rFonts w:ascii="Consolas" w:cs="Consolas" w:eastAsia="Consolas" w:hAnsi="Consolas"/>
                <w:color w:val="1B1F24"/>
                <w:sz w:val="18"/>
                <w:szCs w:val="18"/>
              </w:rPr>
              <w:t xml:space="preserve">    concerns: list[str] = Field(default_factory=list)</w:t>
            </w:r>
          </w:p>
          <w:p>
            <w:pPr>
              <w:spacing w:after="0"/>
            </w:pPr>
            <w:r>
              <w:rPr>
                <w:rFonts w:ascii="Consolas" w:cs="Consolas" w:eastAsia="Consolas" w:hAnsi="Consolas"/>
                <w:color w:val="1B1F24"/>
                <w:sz w:val="18"/>
                <w:szCs w:val="18"/>
              </w:rPr>
              <w:t xml:space="preserve">    refinement_personas: list[str] = Field(default_factory=list)</w:t>
            </w:r>
          </w:p>
        </w:tc>
      </w:tr>
    </w:tbl>
    <w:p>
      <w:pPr>
        <w:spacing w:after="260" w:before="60"/>
      </w:pPr>
      <w:r>
        <w:rPr>
          <w:i/>
          <w:iCs/>
          <w:color w:val="6B7280"/>
          <w:sz w:val="19"/>
          <w:szCs w:val="19"/>
        </w:rPr>
        <w:t xml:space="preserve">src/agents/state.py — a Proposal also can't exist with zero evidence_ids, thanks to min_length=1.</w:t>
      </w:r>
    </w:p>
    <w:p>
      <w:pPr>
        <w:spacing w:after="200"/>
      </w:pPr>
      <w:r>
        <w:rPr>
          <w:color w:val="26282C"/>
          <w:sz w:val="22"/>
          <w:szCs w:val="22"/>
        </w:rPr>
        <w:t xml:space="preserve">Governance can accept a proposal for presentation, reject it, or ask for a bounded refinement — it cannot execute remediation, because nothing in the schema or the graph gives it a path to do so. The runtime separately limits model calls, tool calls, refinement rounds, and total duration before execution ever begins.</w:t>
      </w:r>
    </w:p>
    <w:p>
      <w:pPr>
        <w:spacing w:after="200"/>
      </w:pPr>
      <w:r>
        <w:rPr>
          <w:color w:val="26282C"/>
          <w:sz w:val="22"/>
          <w:szCs w:val="22"/>
        </w:rPr>
        <w:t xml:space="preserve">Four domain tables capture runs, events, messages, and artifacts. LangGraph owns its own, separate checkpoint tables for workflow continuation. That separation matters operationally: the business audit model can stay stable even if the orchestration library changes underneath it, because product APIs were never coupled to framework internals in the first place.</w:t>
      </w:r>
    </w:p>
    <w:tbl>
      <w:tblPr>
        <w:tblW w:type="dxa" w:w="9360"/>
        <w:tblBorders>
          <w:top w:val="single" w:color="C9CED6" w:sz="2"/>
          <w:left w:val="single" w:color="C9CED6" w:sz="2"/>
          <w:bottom w:val="single" w:color="C9CED6" w:sz="2"/>
          <w:right w:val="single" w:color="C9CED6" w:sz="2"/>
          <w:insideH w:val="single" w:color="C9CED6" w:sz="2"/>
          <w:insideV w:val="single" w:color="C9CED6" w:sz="2"/>
        </w:tblBorders>
      </w:tblPr>
      <w:tblGrid>
        <w:gridCol w:w="4680"/>
        <w:gridCol w:w="4680"/>
      </w:tblGrid>
      <w:tr>
        <w:trPr>
          <w:tblHeader/>
        </w:trPr>
        <w:tc>
          <w:tcPr>
            <w:tcW w:type="dxa" w:w="4680"/>
            <w:shd w:fill="1F2937" w:color="auto" w:val="clear"/>
            <w:tcMar>
              <w:top w:type="dxa" w:w="120"/>
              <w:left w:type="dxa" w:w="160"/>
              <w:bottom w:type="dxa" w:w="120"/>
              <w:right w:type="dxa" w:w="160"/>
            </w:tcMar>
          </w:tcPr>
          <w:p>
            <w:pPr>
              <w:spacing w:after="0"/>
            </w:pPr>
            <w:r>
              <w:rPr>
                <w:b/>
                <w:bCs/>
                <w:color w:val="FFFFFF"/>
                <w:sz w:val="20"/>
                <w:szCs w:val="20"/>
              </w:rPr>
              <w:t xml:space="preserve">Persist</w:t>
            </w:r>
          </w:p>
        </w:tc>
        <w:tc>
          <w:tcPr>
            <w:tcW w:type="dxa" w:w="4680"/>
            <w:shd w:fill="1F2937" w:color="auto" w:val="clear"/>
            <w:tcMar>
              <w:top w:type="dxa" w:w="120"/>
              <w:left w:type="dxa" w:w="160"/>
              <w:bottom w:type="dxa" w:w="120"/>
              <w:right w:type="dxa" w:w="160"/>
            </w:tcMar>
          </w:tcPr>
          <w:p>
            <w:pPr>
              <w:spacing w:after="0"/>
            </w:pPr>
            <w:r>
              <w:rPr>
                <w:b/>
                <w:bCs/>
                <w:color w:val="FFFFFF"/>
                <w:sz w:val="20"/>
                <w:szCs w:val="20"/>
              </w:rPr>
              <w:t xml:space="preserve">Do not persist</w:t>
            </w:r>
          </w:p>
        </w:tc>
      </w:tr>
      <w:tr>
        <w:tc>
          <w:tcPr>
            <w:tcW w:type="dxa" w:w="4680"/>
            <w:tcMar>
              <w:top w:type="dxa" w:w="120"/>
              <w:left w:type="dxa" w:w="160"/>
              <w:bottom w:type="dxa" w:w="120"/>
              <w:right w:type="dxa" w:w="160"/>
            </w:tcMar>
          </w:tcPr>
          <w:p>
            <w:pPr>
              <w:spacing w:after="0"/>
            </w:pPr>
            <w:r>
              <w:rPr>
                <w:b w:val="false"/>
                <w:bCs w:val="false"/>
                <w:color w:val="26282C"/>
                <w:sz w:val="20"/>
                <w:szCs w:val="20"/>
              </w:rPr>
              <w:t xml:space="preserve">Evidence IDs, sources, timestamps, findings, proposals, verdicts, model/tool metadata</w:t>
            </w:r>
          </w:p>
        </w:tc>
        <w:tc>
          <w:tcPr>
            <w:tcW w:type="dxa" w:w="4680"/>
            <w:tcMar>
              <w:top w:type="dxa" w:w="120"/>
              <w:left w:type="dxa" w:w="160"/>
              <w:bottom w:type="dxa" w:w="120"/>
              <w:right w:type="dxa" w:w="160"/>
            </w:tcMar>
          </w:tcPr>
          <w:p>
            <w:pPr>
              <w:spacing w:after="0"/>
            </w:pPr>
            <w:r>
              <w:rPr>
                <w:b w:val="false"/>
                <w:bCs w:val="false"/>
                <w:color w:val="26282C"/>
                <w:sz w:val="20"/>
                <w:szCs w:val="20"/>
              </w:rPr>
              <w:t xml:space="preserve">Credentials, raw secrets, hidden chain-of-thought, executable remediation</w:t>
            </w:r>
          </w:p>
        </w:tc>
      </w:tr>
      <w:tr>
        <w:tc>
          <w:tcPr>
            <w:tcW w:type="dxa" w:w="4680"/>
            <w:shd w:fill="F7F8FA" w:color="auto" w:val="clear"/>
            <w:tcMar>
              <w:top w:type="dxa" w:w="120"/>
              <w:left w:type="dxa" w:w="160"/>
              <w:bottom w:type="dxa" w:w="120"/>
              <w:right w:type="dxa" w:w="160"/>
            </w:tcMar>
          </w:tcPr>
          <w:p>
            <w:pPr>
              <w:spacing w:after="0"/>
            </w:pPr>
            <w:r>
              <w:rPr>
                <w:b w:val="false"/>
                <w:bCs w:val="false"/>
                <w:color w:val="26282C"/>
                <w:sz w:val="20"/>
                <w:szCs w:val="20"/>
              </w:rPr>
              <w:t xml:space="preserve">Actor scope, workflow status, latency, prompt version, safe errors</w:t>
            </w:r>
          </w:p>
        </w:tc>
        <w:tc>
          <w:tcPr>
            <w:tcW w:type="dxa" w:w="4680"/>
            <w:shd w:fill="F7F8FA" w:color="auto" w:val="clear"/>
            <w:tcMar>
              <w:top w:type="dxa" w:w="120"/>
              <w:left w:type="dxa" w:w="160"/>
              <w:bottom w:type="dxa" w:w="120"/>
              <w:right w:type="dxa" w:w="160"/>
            </w:tcMar>
          </w:tcPr>
          <w:p>
            <w:pPr>
              <w:spacing w:after="0"/>
            </w:pPr>
            <w:r>
              <w:rPr>
                <w:b w:val="false"/>
                <w:bCs w:val="false"/>
                <w:color w:val="26282C"/>
                <w:sz w:val="20"/>
                <w:szCs w:val="20"/>
              </w:rPr>
              <w:t xml:space="preserve">Provider stack traces or unbounded raw observations</w:t>
            </w:r>
          </w:p>
        </w:tc>
      </w:tr>
    </w:tbl>
    <w:p>
      <w:pPr>
        <w:spacing w:after="300"/>
      </w:pPr>
    </w:p>
    <w:p>
      <w:pPr>
        <w:pStyle w:val="Heading1"/>
        <w:pBdr>
          <w:bottom w:val="single" w:color="C9CED6" w:sz="6" w:space="4"/>
        </w:pBdr>
        <w:spacing w:after="160" w:before="420"/>
      </w:pPr>
      <w:r>
        <w:rPr>
          <w:b/>
          <w:bCs/>
          <w:color w:val="1F2937"/>
          <w:sz w:val="30"/>
          <w:szCs w:val="30"/>
        </w:rPr>
        <w:t xml:space="preserve">Why Docker Compose for the reference deployment</w:t>
      </w:r>
    </w:p>
    <w:p>
      <w:pPr>
        <w:spacing w:after="200"/>
      </w:pPr>
      <w:r>
        <w:rPr>
          <w:color w:val="26282C"/>
          <w:sz w:val="22"/>
          <w:szCs w:val="22"/>
        </w:rPr>
        <w:t xml:space="preserve">The goal here is a reproducible architecture boundary, not a claim that Compose is the final production platform. The reference stack packages PostgreSQL/TimescaleDB, a one-shot migration job, FastAPI, a scheduler worker, Prometheus, and Grafana. Health-gated dependencies make startup deterministic, and sharing one application image across the API, migration, and worker processes keeps them from drifting apart.</w:t>
      </w:r>
    </w:p>
    <w:p>
      <w:pPr>
        <w:spacing w:after="200"/>
      </w:pPr>
      <w:r>
        <w:rPr>
          <w:color w:val="26282C"/>
          <w:sz w:val="22"/>
          <w:szCs w:val="22"/>
        </w:rPr>
        <w:t xml:space="preserve">Compose is the right choice for local development, demonstrations, and integration tests, because it exposes service contracts without adding orchestrator complexity on top. Production can move to managed PostgreSQL, Container Apps or Kubernetes, Key Vault, Managed Identity, and managed observability — the application modules don't need to change, because deployment concerns were kept outside them from the start.</w:t>
      </w:r>
    </w:p>
    <w:p>
      <w:pPr>
        <w:spacing w:after="200"/>
      </w:pPr>
    </w:p>
    <w:p>
      <w:pPr>
        <w:pStyle w:val="Heading1"/>
        <w:pBdr>
          <w:bottom w:val="single" w:color="C9CED6" w:sz="6" w:space="4"/>
        </w:pBdr>
        <w:spacing w:after="160" w:before="420"/>
      </w:pPr>
      <w:r>
        <w:rPr>
          <w:b/>
          <w:bCs/>
          <w:color w:val="1F2937"/>
          <w:sz w:val="30"/>
          <w:szCs w:val="30"/>
        </w:rPr>
        <w:t xml:space="preserve">How the architecture extends</w:t>
      </w:r>
    </w:p>
    <w:p>
      <w:pPr>
        <w:spacing w:after="200"/>
      </w:pPr>
      <w:r>
        <w:rPr>
          <w:color w:val="26282C"/>
          <w:sz w:val="22"/>
          <w:szCs w:val="22"/>
        </w:rPr>
        <w:t xml:space="preserve">Extension is meant to mean adding a module or an adapter — not editing every layer to accommodate one new requirement.</w:t>
      </w:r>
    </w:p>
    <w:tbl>
      <w:tblPr>
        <w:tblW w:type="dxa" w:w="9360"/>
        <w:tblBorders>
          <w:top w:val="single" w:color="C9CED6" w:sz="2"/>
          <w:left w:val="single" w:color="C9CED6" w:sz="2"/>
          <w:bottom w:val="single" w:color="C9CED6" w:sz="2"/>
          <w:right w:val="single" w:color="C9CED6" w:sz="2"/>
          <w:insideH w:val="single" w:color="C9CED6" w:sz="2"/>
          <w:insideV w:val="single" w:color="C9CED6" w:sz="2"/>
        </w:tblBorders>
      </w:tblPr>
      <w:tblGrid>
        <w:gridCol w:w="3000"/>
        <w:gridCol w:w="6360"/>
      </w:tblGrid>
      <w:tr>
        <w:trPr>
          <w:tblHeader/>
        </w:trPr>
        <w:tc>
          <w:tcPr>
            <w:tcW w:type="dxa" w:w="3000"/>
            <w:shd w:fill="1F2937" w:color="auto" w:val="clear"/>
            <w:tcMar>
              <w:top w:type="dxa" w:w="120"/>
              <w:left w:type="dxa" w:w="160"/>
              <w:bottom w:type="dxa" w:w="120"/>
              <w:right w:type="dxa" w:w="160"/>
            </w:tcMar>
          </w:tcPr>
          <w:p>
            <w:pPr>
              <w:spacing w:after="0"/>
            </w:pPr>
            <w:r>
              <w:rPr>
                <w:b/>
                <w:bCs/>
                <w:color w:val="FFFFFF"/>
                <w:sz w:val="20"/>
                <w:szCs w:val="20"/>
              </w:rPr>
              <w:t xml:space="preserve">Future requirement</w:t>
            </w:r>
          </w:p>
        </w:tc>
        <w:tc>
          <w:tcPr>
            <w:tcW w:type="dxa" w:w="6360"/>
            <w:shd w:fill="1F2937" w:color="auto" w:val="clear"/>
            <w:tcMar>
              <w:top w:type="dxa" w:w="120"/>
              <w:left w:type="dxa" w:w="160"/>
              <w:bottom w:type="dxa" w:w="120"/>
              <w:right w:type="dxa" w:w="160"/>
            </w:tcMar>
          </w:tcPr>
          <w:p>
            <w:pPr>
              <w:spacing w:after="0"/>
            </w:pPr>
            <w:r>
              <w:rPr>
                <w:b/>
                <w:bCs/>
                <w:color w:val="FFFFFF"/>
                <w:sz w:val="20"/>
                <w:szCs w:val="20"/>
              </w:rPr>
              <w:t xml:space="preserve">Extension seam</w:t>
            </w:r>
          </w:p>
        </w:tc>
      </w:tr>
      <w:tr>
        <w:tc>
          <w:tcPr>
            <w:tcW w:type="dxa" w:w="3000"/>
            <w:tcMar>
              <w:top w:type="dxa" w:w="120"/>
              <w:left w:type="dxa" w:w="160"/>
              <w:bottom w:type="dxa" w:w="120"/>
              <w:right w:type="dxa" w:w="160"/>
            </w:tcMar>
          </w:tcPr>
          <w:p>
            <w:pPr>
              <w:spacing w:after="0"/>
            </w:pPr>
            <w:r>
              <w:rPr>
                <w:b w:val="false"/>
                <w:bCs w:val="false"/>
                <w:color w:val="26282C"/>
                <w:sz w:val="20"/>
                <w:szCs w:val="20"/>
              </w:rPr>
              <w:t xml:space="preserve">Another LLM provider</w:t>
            </w:r>
          </w:p>
        </w:tc>
        <w:tc>
          <w:tcPr>
            <w:tcW w:type="dxa" w:w="6360"/>
            <w:tcMar>
              <w:top w:type="dxa" w:w="120"/>
              <w:left w:type="dxa" w:w="160"/>
              <w:bottom w:type="dxa" w:w="120"/>
              <w:right w:type="dxa" w:w="160"/>
            </w:tcMar>
          </w:tcPr>
          <w:p>
            <w:pPr>
              <w:spacing w:after="0"/>
            </w:pPr>
            <w:r>
              <w:rPr>
                <w:b w:val="false"/>
                <w:bCs w:val="false"/>
                <w:color w:val="26282C"/>
                <w:sz w:val="20"/>
                <w:szCs w:val="20"/>
              </w:rPr>
              <w:t xml:space="preserve">Implement the shared model factory contract and configuration validation.</w:t>
            </w:r>
          </w:p>
        </w:tc>
      </w:tr>
      <w:tr>
        <w:tc>
          <w:tcPr>
            <w:tcW w:type="dxa" w:w="3000"/>
            <w:shd w:fill="F7F8FA" w:color="auto" w:val="clear"/>
            <w:tcMar>
              <w:top w:type="dxa" w:w="120"/>
              <w:left w:type="dxa" w:w="160"/>
              <w:bottom w:type="dxa" w:w="120"/>
              <w:right w:type="dxa" w:w="160"/>
            </w:tcMar>
          </w:tcPr>
          <w:p>
            <w:pPr>
              <w:spacing w:after="0"/>
            </w:pPr>
            <w:r>
              <w:rPr>
                <w:b w:val="false"/>
                <w:bCs w:val="false"/>
                <w:color w:val="26282C"/>
                <w:sz w:val="20"/>
                <w:szCs w:val="20"/>
              </w:rPr>
              <w:t xml:space="preserve">New cloud or billing source</w:t>
            </w:r>
          </w:p>
        </w:tc>
        <w:tc>
          <w:tcPr>
            <w:tcW w:type="dxa" w:w="6360"/>
            <w:shd w:fill="F7F8FA" w:color="auto" w:val="clear"/>
            <w:tcMar>
              <w:top w:type="dxa" w:w="120"/>
              <w:left w:type="dxa" w:w="160"/>
              <w:bottom w:type="dxa" w:w="120"/>
              <w:right w:type="dxa" w:w="160"/>
            </w:tcMar>
          </w:tcPr>
          <w:p>
            <w:pPr>
              <w:spacing w:after="0"/>
            </w:pPr>
            <w:r>
              <w:rPr>
                <w:b w:val="false"/>
                <w:bCs w:val="false"/>
                <w:color w:val="26282C"/>
                <w:sz w:val="20"/>
                <w:szCs w:val="20"/>
              </w:rPr>
              <w:t xml:space="preserve">Add an integration adapter that emits canonical cost/inventory evidence.</w:t>
            </w:r>
          </w:p>
        </w:tc>
      </w:tr>
      <w:tr>
        <w:tc>
          <w:tcPr>
            <w:tcW w:type="dxa" w:w="3000"/>
            <w:tcMar>
              <w:top w:type="dxa" w:w="120"/>
              <w:left w:type="dxa" w:w="160"/>
              <w:bottom w:type="dxa" w:w="120"/>
              <w:right w:type="dxa" w:w="160"/>
            </w:tcMar>
          </w:tcPr>
          <w:p>
            <w:pPr>
              <w:spacing w:after="0"/>
            </w:pPr>
            <w:r>
              <w:rPr>
                <w:b w:val="false"/>
                <w:bCs w:val="false"/>
                <w:color w:val="26282C"/>
                <w:sz w:val="20"/>
                <w:szCs w:val="20"/>
              </w:rPr>
              <w:t xml:space="preserve">New specialist persona</w:t>
            </w:r>
          </w:p>
        </w:tc>
        <w:tc>
          <w:tcPr>
            <w:tcW w:type="dxa" w:w="6360"/>
            <w:tcMar>
              <w:top w:type="dxa" w:w="120"/>
              <w:left w:type="dxa" w:w="160"/>
              <w:bottom w:type="dxa" w:w="120"/>
              <w:right w:type="dxa" w:w="160"/>
            </w:tcMar>
          </w:tcPr>
          <w:p>
            <w:pPr>
              <w:spacing w:after="0"/>
            </w:pPr>
            <w:r>
              <w:rPr>
                <w:b w:val="false"/>
                <w:bCs w:val="false"/>
                <w:color w:val="26282C"/>
                <w:sz w:val="20"/>
                <w:szCs w:val="20"/>
              </w:rPr>
              <w:t xml:space="preserve">Define a persona contract, structured output, allowed tools, and graph route.</w:t>
            </w:r>
          </w:p>
        </w:tc>
      </w:tr>
      <w:tr>
        <w:tc>
          <w:tcPr>
            <w:tcW w:type="dxa" w:w="3000"/>
            <w:shd w:fill="F7F8FA" w:color="auto" w:val="clear"/>
            <w:tcMar>
              <w:top w:type="dxa" w:w="120"/>
              <w:left w:type="dxa" w:w="160"/>
              <w:bottom w:type="dxa" w:w="120"/>
              <w:right w:type="dxa" w:w="160"/>
            </w:tcMar>
          </w:tcPr>
          <w:p>
            <w:pPr>
              <w:spacing w:after="0"/>
            </w:pPr>
            <w:r>
              <w:rPr>
                <w:b w:val="false"/>
                <w:bCs w:val="false"/>
                <w:color w:val="26282C"/>
                <w:sz w:val="20"/>
                <w:szCs w:val="20"/>
              </w:rPr>
              <w:t xml:space="preserve">New evidence source</w:t>
            </w:r>
          </w:p>
        </w:tc>
        <w:tc>
          <w:tcPr>
            <w:tcW w:type="dxa" w:w="6360"/>
            <w:shd w:fill="F7F8FA" w:color="auto" w:val="clear"/>
            <w:tcMar>
              <w:top w:type="dxa" w:w="120"/>
              <w:left w:type="dxa" w:w="160"/>
              <w:bottom w:type="dxa" w:w="120"/>
              <w:right w:type="dxa" w:w="160"/>
            </w:tcMar>
          </w:tcPr>
          <w:p>
            <w:pPr>
              <w:spacing w:after="0"/>
            </w:pPr>
            <w:r>
              <w:rPr>
                <w:b w:val="false"/>
                <w:bCs w:val="false"/>
                <w:color w:val="26282C"/>
                <w:sz w:val="20"/>
                <w:szCs w:val="20"/>
              </w:rPr>
              <w:t xml:space="preserve">Register a read-only tool with Pydantic input/output and evidence metadata.</w:t>
            </w:r>
          </w:p>
        </w:tc>
      </w:tr>
      <w:tr>
        <w:tc>
          <w:tcPr>
            <w:tcW w:type="dxa" w:w="3000"/>
            <w:tcMar>
              <w:top w:type="dxa" w:w="120"/>
              <w:left w:type="dxa" w:w="160"/>
              <w:bottom w:type="dxa" w:w="120"/>
              <w:right w:type="dxa" w:w="160"/>
            </w:tcMar>
          </w:tcPr>
          <w:p>
            <w:pPr>
              <w:spacing w:after="0"/>
            </w:pPr>
            <w:r>
              <w:rPr>
                <w:b w:val="false"/>
                <w:bCs w:val="false"/>
                <w:color w:val="26282C"/>
                <w:sz w:val="20"/>
                <w:szCs w:val="20"/>
              </w:rPr>
              <w:t xml:space="preserve">Warehouse analytics</w:t>
            </w:r>
          </w:p>
        </w:tc>
        <w:tc>
          <w:tcPr>
            <w:tcW w:type="dxa" w:w="6360"/>
            <w:tcMar>
              <w:top w:type="dxa" w:w="120"/>
              <w:left w:type="dxa" w:w="160"/>
              <w:bottom w:type="dxa" w:w="120"/>
              <w:right w:type="dxa" w:w="160"/>
            </w:tcMar>
          </w:tcPr>
          <w:p>
            <w:pPr>
              <w:spacing w:after="0"/>
            </w:pPr>
            <w:r>
              <w:rPr>
                <w:b w:val="false"/>
                <w:bCs w:val="false"/>
                <w:color w:val="26282C"/>
                <w:sz w:val="20"/>
                <w:szCs w:val="20"/>
              </w:rPr>
              <w:t xml:space="preserve">Fan out normalized records or replace the repository implementation.</w:t>
            </w:r>
          </w:p>
        </w:tc>
      </w:tr>
      <w:tr>
        <w:tc>
          <w:tcPr>
            <w:tcW w:type="dxa" w:w="3000"/>
            <w:shd w:fill="F7F8FA" w:color="auto" w:val="clear"/>
            <w:tcMar>
              <w:top w:type="dxa" w:w="120"/>
              <w:left w:type="dxa" w:w="160"/>
              <w:bottom w:type="dxa" w:w="120"/>
              <w:right w:type="dxa" w:w="160"/>
            </w:tcMar>
          </w:tcPr>
          <w:p>
            <w:pPr>
              <w:spacing w:after="0"/>
            </w:pPr>
            <w:r>
              <w:rPr>
                <w:b w:val="false"/>
                <w:bCs w:val="false"/>
                <w:color w:val="26282C"/>
                <w:sz w:val="20"/>
                <w:szCs w:val="20"/>
              </w:rPr>
              <w:t xml:space="preserve">Different UI</w:t>
            </w:r>
          </w:p>
        </w:tc>
        <w:tc>
          <w:tcPr>
            <w:tcW w:type="dxa" w:w="6360"/>
            <w:shd w:fill="F7F8FA" w:color="auto" w:val="clear"/>
            <w:tcMar>
              <w:top w:type="dxa" w:w="120"/>
              <w:left w:type="dxa" w:w="160"/>
              <w:bottom w:type="dxa" w:w="120"/>
              <w:right w:type="dxa" w:w="160"/>
            </w:tcMar>
          </w:tcPr>
          <w:p>
            <w:pPr>
              <w:spacing w:after="0"/>
            </w:pPr>
            <w:r>
              <w:rPr>
                <w:b w:val="false"/>
                <w:bCs w:val="false"/>
                <w:color w:val="26282C"/>
                <w:sz w:val="20"/>
                <w:szCs w:val="20"/>
              </w:rPr>
              <w:t xml:space="preserve">Consume versioned APIs and artifact provenance; no graph rewrite is required.</w:t>
            </w:r>
          </w:p>
        </w:tc>
      </w:tr>
      <w:tr>
        <w:tc>
          <w:tcPr>
            <w:tcW w:type="dxa" w:w="3000"/>
            <w:tcMar>
              <w:top w:type="dxa" w:w="120"/>
              <w:left w:type="dxa" w:w="160"/>
              <w:bottom w:type="dxa" w:w="120"/>
              <w:right w:type="dxa" w:w="160"/>
            </w:tcMar>
          </w:tcPr>
          <w:p>
            <w:pPr>
              <w:spacing w:after="0"/>
            </w:pPr>
            <w:r>
              <w:rPr>
                <w:b w:val="false"/>
                <w:bCs w:val="false"/>
                <w:color w:val="26282C"/>
                <w:sz w:val="20"/>
                <w:szCs w:val="20"/>
              </w:rPr>
              <w:t xml:space="preserve">Approval workflow</w:t>
            </w:r>
          </w:p>
        </w:tc>
        <w:tc>
          <w:tcPr>
            <w:tcW w:type="dxa" w:w="6360"/>
            <w:tcMar>
              <w:top w:type="dxa" w:w="120"/>
              <w:left w:type="dxa" w:w="160"/>
              <w:bottom w:type="dxa" w:w="120"/>
              <w:right w:type="dxa" w:w="160"/>
            </w:tcMar>
          </w:tcPr>
          <w:p>
            <w:pPr>
              <w:spacing w:after="0"/>
            </w:pPr>
            <w:r>
              <w:rPr>
                <w:b w:val="false"/>
                <w:bCs w:val="false"/>
                <w:color w:val="26282C"/>
                <w:sz w:val="20"/>
                <w:szCs w:val="20"/>
              </w:rPr>
              <w:t xml:space="preserve">Add a domain lifecycle around proposal artifacts without coupling approval to cloud execution.</w:t>
            </w:r>
          </w:p>
        </w:tc>
      </w:tr>
      <w:tr>
        <w:tc>
          <w:tcPr>
            <w:tcW w:type="dxa" w:w="3000"/>
            <w:shd w:fill="F7F8FA" w:color="auto" w:val="clear"/>
            <w:tcMar>
              <w:top w:type="dxa" w:w="120"/>
              <w:left w:type="dxa" w:w="160"/>
              <w:bottom w:type="dxa" w:w="120"/>
              <w:right w:type="dxa" w:w="160"/>
            </w:tcMar>
          </w:tcPr>
          <w:p>
            <w:pPr>
              <w:spacing w:after="0"/>
            </w:pPr>
            <w:r>
              <w:rPr>
                <w:b w:val="false"/>
                <w:bCs w:val="false"/>
                <w:color w:val="26282C"/>
                <w:sz w:val="20"/>
                <w:szCs w:val="20"/>
              </w:rPr>
              <w:t xml:space="preserve">Safe remediation</w:t>
            </w:r>
          </w:p>
        </w:tc>
        <w:tc>
          <w:tcPr>
            <w:tcW w:type="dxa" w:w="6360"/>
            <w:shd w:fill="F7F8FA" w:color="auto" w:val="clear"/>
            <w:tcMar>
              <w:top w:type="dxa" w:w="120"/>
              <w:left w:type="dxa" w:w="160"/>
              <w:bottom w:type="dxa" w:w="120"/>
              <w:right w:type="dxa" w:w="160"/>
            </w:tcMar>
          </w:tcPr>
          <w:p>
            <w:pPr>
              <w:spacing w:after="0"/>
            </w:pPr>
            <w:r>
              <w:rPr>
                <w:b w:val="false"/>
                <w:bCs w:val="false"/>
                <w:color w:val="26282C"/>
                <w:sz w:val="20"/>
                <w:szCs w:val="20"/>
              </w:rPr>
              <w:t xml:space="preserve">Introduce a separate least-privilege executor, dry-run, rollback, and separation of duties.</w:t>
            </w:r>
          </w:p>
        </w:tc>
      </w:tr>
    </w:tbl>
    <w:p>
      <w:pPr>
        <w:spacing w:after="160"/>
      </w:pPr>
    </w:p>
    <w:p>
      <w:pPr>
        <w:spacing w:after="200"/>
      </w:pPr>
      <w:r>
        <w:rPr>
          <w:color w:val="26282C"/>
          <w:sz w:val="22"/>
          <w:szCs w:val="22"/>
        </w:rPr>
        <w:t xml:space="preserve">That last row is intentionally not implemented. Advisory intelligence and cloud mutation have different threat models, and combining them early would increase blast radius and make human approval ambiguous. A mature architecture earns autonomy only after evidence quality, evaluation, identity, rollback, and operational ownership are proven — not before.</w:t>
      </w:r>
    </w:p>
    <w:p>
      <w:pPr>
        <w:spacing w:after="200"/>
      </w:pPr>
    </w:p>
    <w:p>
      <w:pPr>
        <w:pStyle w:val="Heading1"/>
        <w:pBdr>
          <w:bottom w:val="single" w:color="C9CED6" w:sz="6" w:space="4"/>
        </w:pBdr>
        <w:spacing w:after="160" w:before="420"/>
      </w:pPr>
      <w:r>
        <w:rPr>
          <w:b/>
          <w:bCs/>
          <w:color w:val="1F2937"/>
          <w:sz w:val="30"/>
          <w:szCs w:val="30"/>
        </w:rPr>
        <w:t xml:space="preserve">What I would measure next</w:t>
      </w:r>
    </w:p>
    <w:p>
      <w:pPr>
        <w:spacing w:after="200"/>
      </w:pPr>
      <w:r>
        <w:rPr>
          <w:color w:val="26282C"/>
          <w:sz w:val="22"/>
          <w:szCs w:val="22"/>
        </w:rPr>
        <w:t xml:space="preserve">None of the following is instrumented yet — this platform is advisory-by-default and still early. But architecture quality should eventually become visible through system behavior, not only through diagrams, so this is the scorecard I'd want to build against:</w:t>
      </w:r>
    </w:p>
    <w:p>
      <w:pPr>
        <w:pStyle w:val="ListParagraph"/>
        <w:numPr>
          <w:ilvl w:val="0"/>
          <w:numId w:val="2"/>
        </w:numPr>
        <w:spacing w:after="100"/>
      </w:pPr>
      <w:r>
        <w:rPr>
          <w:color w:val="26282C"/>
          <w:sz w:val="22"/>
          <w:szCs w:val="22"/>
        </w:rPr>
        <w:t xml:space="preserve">Evidence coverage: percentage of claims with valid, current evidence IDs.</w:t>
      </w:r>
    </w:p>
    <w:p>
      <w:pPr>
        <w:pStyle w:val="ListParagraph"/>
        <w:numPr>
          <w:ilvl w:val="0"/>
          <w:numId w:val="2"/>
        </w:numPr>
        <w:spacing w:after="100"/>
      </w:pPr>
      <w:r>
        <w:rPr>
          <w:color w:val="26282C"/>
          <w:sz w:val="22"/>
          <w:szCs w:val="22"/>
        </w:rPr>
        <w:t xml:space="preserve">Governance quality: rejection and refinement rates by proposal type.</w:t>
      </w:r>
    </w:p>
    <w:p>
      <w:pPr>
        <w:pStyle w:val="ListParagraph"/>
        <w:numPr>
          <w:ilvl w:val="0"/>
          <w:numId w:val="2"/>
        </w:numPr>
        <w:spacing w:after="100"/>
      </w:pPr>
      <w:r>
        <w:rPr>
          <w:color w:val="26282C"/>
          <w:sz w:val="22"/>
          <w:szCs w:val="22"/>
        </w:rPr>
        <w:t xml:space="preserve">Cost and latency: model/tool calls and end-to-end duration per workflow.</w:t>
      </w:r>
    </w:p>
    <w:p>
      <w:pPr>
        <w:pStyle w:val="ListParagraph"/>
        <w:numPr>
          <w:ilvl w:val="0"/>
          <w:numId w:val="2"/>
        </w:numPr>
        <w:spacing w:after="100"/>
      </w:pPr>
      <w:r>
        <w:rPr>
          <w:color w:val="26282C"/>
          <w:sz w:val="22"/>
          <w:szCs w:val="22"/>
        </w:rPr>
        <w:t xml:space="preserve">Reliability: node failures, checkpoint resumes, timeouts, and provider fallback rates.</w:t>
      </w:r>
    </w:p>
    <w:p>
      <w:pPr>
        <w:pStyle w:val="ListParagraph"/>
        <w:numPr>
          <w:ilvl w:val="0"/>
          <w:numId w:val="2"/>
        </w:numPr>
        <w:spacing w:after="100"/>
      </w:pPr>
      <w:r>
        <w:rPr>
          <w:color w:val="26282C"/>
          <w:sz w:val="22"/>
          <w:szCs w:val="22"/>
        </w:rPr>
        <w:t xml:space="preserve">Decision value: accepted proposals, validated savings, and time from insight to approval.</w:t>
      </w:r>
    </w:p>
    <w:p>
      <w:pPr>
        <w:pStyle w:val="ListParagraph"/>
        <w:numPr>
          <w:ilvl w:val="0"/>
          <w:numId w:val="2"/>
        </w:numPr>
        <w:spacing w:after="100"/>
      </w:pPr>
      <w:r>
        <w:rPr>
          <w:color w:val="26282C"/>
          <w:sz w:val="22"/>
          <w:szCs w:val="22"/>
        </w:rPr>
        <w:t xml:space="preserve">Safety: unauthorized tool attempts, cross-actor access failures, and zero mutation events.</w:t>
      </w:r>
    </w:p>
    <w:p>
      <w:pPr>
        <w:spacing w:after="200"/>
      </w:pPr>
    </w:p>
    <w:p>
      <w:pPr>
        <w:pStyle w:val="Heading1"/>
        <w:pBdr>
          <w:bottom w:val="single" w:color="C9CED6" w:sz="6" w:space="4"/>
        </w:pBdr>
        <w:spacing w:after="160" w:before="420"/>
      </w:pPr>
      <w:r>
        <w:rPr>
          <w:b/>
          <w:bCs/>
          <w:color w:val="1F2937"/>
          <w:sz w:val="30"/>
          <w:szCs w:val="30"/>
        </w:rPr>
        <w:t xml:space="preserve">Closing perspective</w:t>
      </w:r>
    </w:p>
    <w:p>
      <w:pPr>
        <w:spacing w:after="200"/>
      </w:pPr>
      <w:r>
        <w:rPr>
          <w:color w:val="26282C"/>
          <w:sz w:val="22"/>
          <w:szCs w:val="22"/>
        </w:rPr>
        <w:t xml:space="preserve">The most important AI decisions here turned out to be conventional software-engineering decisions. The platform became extensible not because it uses six personas, but because each responsibility got a narrow boundary. Time-series financial data lives in a transactional system designed for its access pattern. Models operate through application-owned tools. Graph state is explicit. Governance is executable policy — enforced by the type system, not a prompt. Audit data is a product contract. Deployment and delivery are repeatable.</w:t>
      </w:r>
    </w:p>
    <w:p>
      <w:pPr>
        <w:spacing w:after="200"/>
      </w:pPr>
      <w:r>
        <w:rPr>
          <w:color w:val="26282C"/>
          <w:sz w:val="22"/>
          <w:szCs w:val="22"/>
        </w:rPr>
        <w:t xml:space="preserve">That framing changes the role of AI in the system. The model is no longer an all-knowing service hidden behind one endpoint — it's one replaceable reasoning dependency inside a system that controls evidence, authority, state, cost, and failure. That's the difference between adding an LLM feature and engineering an AI platform.</w:t>
      </w:r>
    </w:p>
    <w:tbl>
      <w:tblPr>
        <w:tblW w:type="pct" w:w="100%"/>
        <w:tblBorders>
          <w:top w:val="single" w:color="2C5F8A" w:sz="4"/>
          <w:left w:val="single" w:color="C9CED6" w:sz="4"/>
          <w:bottom w:val="single" w:color="C9CED6" w:sz="4"/>
          <w:right w:val="single" w:color="C9CED6" w:sz="4"/>
          <w:insideH w:val="none" w:color="FFFFFF" w:sz="0"/>
          <w:insideV w:val="none" w:color="FFFFFF" w:sz="0"/>
        </w:tblBorders>
      </w:tblPr>
      <w:tblGrid>
        <w:gridCol w:w="100"/>
      </w:tblGrid>
      <w:tr>
        <w:tc>
          <w:tcPr>
            <w:shd w:fill="EEF2F6" w:color="auto" w:val="clear"/>
            <w:tcMar>
              <w:top w:type="dxa" w:w="180"/>
              <w:left w:type="dxa" w:w="220"/>
              <w:bottom w:type="dxa" w:w="180"/>
              <w:right w:type="dxa" w:w="220"/>
            </w:tcMar>
          </w:tcPr>
          <w:p>
            <w:pPr>
              <w:spacing w:after="60"/>
            </w:pPr>
            <w:r>
              <w:rPr>
                <w:b/>
                <w:bCs/>
                <w:color w:val="2C5F8A"/>
                <w:sz w:val="21"/>
                <w:szCs w:val="21"/>
              </w:rPr>
              <w:t xml:space="preserve">Architecture takeaway</w:t>
            </w:r>
          </w:p>
          <w:p>
            <w:r>
              <w:rPr>
                <w:color w:val="26282C"/>
                <w:sz w:val="21"/>
                <w:szCs w:val="21"/>
              </w:rPr>
              <w:t xml:space="preserve">Build deterministic foundations, expose narrow evidence contracts, add the minimum specialized reasoning roles, and make every autonomous step bounded and observable.</w:t>
            </w:r>
          </w:p>
        </w:tc>
      </w:tr>
    </w:tbl>
    <w:p>
      <w:pPr>
        <w:spacing w:after="300"/>
      </w:pPr>
    </w:p>
    <w:p>
      <w:pPr>
        <w:pStyle w:val="Heading1"/>
        <w:pBdr>
          <w:bottom w:val="single" w:color="C9CED6" w:sz="6" w:space="4"/>
        </w:pBdr>
        <w:spacing w:after="160" w:before="420"/>
      </w:pPr>
      <w:r>
        <w:rPr>
          <w:b/>
          <w:bCs/>
          <w:color w:val="1F2937"/>
          <w:sz w:val="30"/>
          <w:szCs w:val="30"/>
        </w:rPr>
        <w:t xml:space="preserve">Explore the implementation</w:t>
      </w:r>
    </w:p>
    <w:p>
      <w:pPr>
        <w:spacing w:after="200"/>
      </w:pPr>
      <w:r>
        <w:rPr>
          <w:color w:val="26282C"/>
          <w:sz w:val="22"/>
          <w:szCs w:val="22"/>
        </w:rPr>
        <w:t xml:space="preserve">The complete source, architecture documentation, tests, Docker environment, dashboards, and release workflow are available in the public repository:</w:t>
      </w:r>
    </w:p>
    <w:p>
      <w:pPr>
        <w:spacing w:after="260"/>
      </w:pPr>
      <w:r>
        <w:rPr>
          <w:b/>
          <w:bCs/>
          <w:sz w:val="22"/>
          <w:szCs w:val="22"/>
        </w:rPr>
        <w:t xml:space="preserve">GitHub repository → </w:t>
      </w:r>
      <w:hyperlink w:history="1" r:id="rIdvkjioomlfkm1diazo3rso">
        <w:r>
          <w:rPr>
            <w:rStyle w:val="Hyperlink"/>
            <w:sz w:val="22"/>
            <w:szCs w:val="22"/>
          </w:rPr>
          <w:t xml:space="preserve">github.com/nk2242696/CostMonitoringMultiAgent</w:t>
        </w:r>
      </w:hyperlink>
    </w:p>
    <w:tbl>
      <w:tblPr>
        <w:tblW w:type="dxa" w:w="9360"/>
        <w:tblBorders>
          <w:top w:val="single" w:color="C9CED6" w:sz="2"/>
          <w:left w:val="single" w:color="C9CED6" w:sz="2"/>
          <w:bottom w:val="single" w:color="C9CED6" w:sz="2"/>
          <w:right w:val="single" w:color="C9CED6" w:sz="2"/>
          <w:insideH w:val="single" w:color="C9CED6" w:sz="2"/>
          <w:insideV w:val="single" w:color="C9CED6" w:sz="2"/>
        </w:tblBorders>
      </w:tblPr>
      <w:tblGrid>
        <w:gridCol w:w="2600"/>
        <w:gridCol w:w="6760"/>
      </w:tblGrid>
      <w:tr>
        <w:trPr>
          <w:tblHeader/>
        </w:trPr>
        <w:tc>
          <w:tcPr>
            <w:tcW w:type="dxa" w:w="2600"/>
            <w:shd w:fill="1F2937" w:color="auto" w:val="clear"/>
            <w:tcMar>
              <w:top w:type="dxa" w:w="120"/>
              <w:left w:type="dxa" w:w="160"/>
              <w:bottom w:type="dxa" w:w="120"/>
              <w:right w:type="dxa" w:w="160"/>
            </w:tcMar>
          </w:tcPr>
          <w:p>
            <w:pPr>
              <w:spacing w:after="0"/>
            </w:pPr>
            <w:r>
              <w:rPr>
                <w:b/>
                <w:bCs/>
                <w:color w:val="FFFFFF"/>
                <w:sz w:val="20"/>
                <w:szCs w:val="20"/>
              </w:rPr>
              <w:t xml:space="preserve">Project</w:t>
            </w:r>
          </w:p>
        </w:tc>
        <w:tc>
          <w:tcPr>
            <w:tcW w:type="dxa" w:w="6760"/>
            <w:shd w:fill="1F2937" w:color="auto" w:val="clear"/>
            <w:tcMar>
              <w:top w:type="dxa" w:w="120"/>
              <w:left w:type="dxa" w:w="160"/>
              <w:bottom w:type="dxa" w:w="120"/>
              <w:right w:type="dxa" w:w="160"/>
            </w:tcMar>
          </w:tcPr>
          <w:p>
            <w:pPr>
              <w:spacing w:after="0"/>
            </w:pPr>
            <w:r>
              <w:rPr>
                <w:b/>
                <w:bCs/>
                <w:color w:val="FFFFFF"/>
                <w:sz w:val="20"/>
                <w:szCs w:val="20"/>
              </w:rPr>
              <w:t xml:space="preserve">Azure Cost Monitoring Multi-Agent Platform</w:t>
            </w:r>
          </w:p>
        </w:tc>
      </w:tr>
      <w:tr>
        <w:tc>
          <w:tcPr>
            <w:tcW w:type="dxa" w:w="2600"/>
            <w:tcMar>
              <w:top w:type="dxa" w:w="120"/>
              <w:left w:type="dxa" w:w="160"/>
              <w:bottom w:type="dxa" w:w="120"/>
              <w:right w:type="dxa" w:w="160"/>
            </w:tcMar>
          </w:tcPr>
          <w:p>
            <w:pPr>
              <w:spacing w:after="0"/>
            </w:pPr>
            <w:r>
              <w:rPr>
                <w:b w:val="false"/>
                <w:bCs w:val="false"/>
                <w:color w:val="26282C"/>
                <w:sz w:val="20"/>
                <w:szCs w:val="20"/>
              </w:rPr>
              <w:t xml:space="preserve">Architecture</w:t>
            </w:r>
          </w:p>
        </w:tc>
        <w:tc>
          <w:tcPr>
            <w:tcW w:type="dxa" w:w="6760"/>
            <w:tcMar>
              <w:top w:type="dxa" w:w="120"/>
              <w:left w:type="dxa" w:w="160"/>
              <w:bottom w:type="dxa" w:w="120"/>
              <w:right w:type="dxa" w:w="160"/>
            </w:tcMar>
          </w:tcPr>
          <w:p>
            <w:pPr>
              <w:spacing w:after="0"/>
            </w:pPr>
            <w:r>
              <w:rPr>
                <w:b w:val="false"/>
                <w:bCs w:val="false"/>
                <w:color w:val="26282C"/>
                <w:sz w:val="20"/>
                <w:szCs w:val="20"/>
              </w:rPr>
              <w:t xml:space="preserve">Modular Python, FastAPI, LangGraph, PostgreSQL/TimescaleDB, Prometheus, Grafana</w:t>
            </w:r>
          </w:p>
        </w:tc>
      </w:tr>
      <w:tr>
        <w:tc>
          <w:tcPr>
            <w:tcW w:type="dxa" w:w="2600"/>
            <w:shd w:fill="F7F8FA" w:color="auto" w:val="clear"/>
            <w:tcMar>
              <w:top w:type="dxa" w:w="120"/>
              <w:left w:type="dxa" w:w="160"/>
              <w:bottom w:type="dxa" w:w="120"/>
              <w:right w:type="dxa" w:w="160"/>
            </w:tcMar>
          </w:tcPr>
          <w:p>
            <w:pPr>
              <w:spacing w:after="0"/>
            </w:pPr>
            <w:r>
              <w:rPr>
                <w:b w:val="false"/>
                <w:bCs w:val="false"/>
                <w:color w:val="26282C"/>
                <w:sz w:val="20"/>
                <w:szCs w:val="20"/>
              </w:rPr>
              <w:t xml:space="preserve">Operating model</w:t>
            </w:r>
          </w:p>
        </w:tc>
        <w:tc>
          <w:tcPr>
            <w:tcW w:type="dxa" w:w="6760"/>
            <w:shd w:fill="F7F8FA" w:color="auto" w:val="clear"/>
            <w:tcMar>
              <w:top w:type="dxa" w:w="120"/>
              <w:left w:type="dxa" w:w="160"/>
              <w:bottom w:type="dxa" w:w="120"/>
              <w:right w:type="dxa" w:w="160"/>
            </w:tcMar>
          </w:tcPr>
          <w:p>
            <w:pPr>
              <w:spacing w:after="0"/>
            </w:pPr>
            <w:r>
              <w:rPr>
                <w:b w:val="false"/>
                <w:bCs w:val="false"/>
                <w:color w:val="26282C"/>
                <w:sz w:val="20"/>
                <w:szCs w:val="20"/>
              </w:rPr>
              <w:t xml:space="preserve">Read-only investigation and human-approved proposals</w:t>
            </w:r>
          </w:p>
        </w:tc>
      </w:tr>
      <w:tr>
        <w:tc>
          <w:tcPr>
            <w:tcW w:type="dxa" w:w="2600"/>
            <w:tcMar>
              <w:top w:type="dxa" w:w="120"/>
              <w:left w:type="dxa" w:w="160"/>
              <w:bottom w:type="dxa" w:w="120"/>
              <w:right w:type="dxa" w:w="160"/>
            </w:tcMar>
          </w:tcPr>
          <w:p>
            <w:pPr>
              <w:spacing w:after="0"/>
            </w:pPr>
            <w:r>
              <w:rPr>
                <w:b w:val="false"/>
                <w:bCs w:val="false"/>
                <w:color w:val="26282C"/>
                <w:sz w:val="20"/>
                <w:szCs w:val="20"/>
              </w:rPr>
              <w:t xml:space="preserve">Deployment</w:t>
            </w:r>
          </w:p>
        </w:tc>
        <w:tc>
          <w:tcPr>
            <w:tcW w:type="dxa" w:w="6760"/>
            <w:tcMar>
              <w:top w:type="dxa" w:w="120"/>
              <w:left w:type="dxa" w:w="160"/>
              <w:bottom w:type="dxa" w:w="120"/>
              <w:right w:type="dxa" w:w="160"/>
            </w:tcMar>
          </w:tcPr>
          <w:p>
            <w:pPr>
              <w:spacing w:after="0"/>
            </w:pPr>
            <w:r>
              <w:rPr>
                <w:b w:val="false"/>
                <w:bCs w:val="false"/>
                <w:color w:val="26282C"/>
                <w:sz w:val="20"/>
                <w:szCs w:val="20"/>
              </w:rPr>
              <w:t xml:space="preserve">Docker-first reference stack with semantic release automation</w:t>
            </w:r>
          </w:p>
        </w:tc>
      </w:tr>
      <w:tr>
        <w:tc>
          <w:tcPr>
            <w:tcW w:type="dxa" w:w="2600"/>
            <w:shd w:fill="F7F8FA" w:color="auto" w:val="clear"/>
            <w:tcMar>
              <w:top w:type="dxa" w:w="120"/>
              <w:left w:type="dxa" w:w="160"/>
              <w:bottom w:type="dxa" w:w="120"/>
              <w:right w:type="dxa" w:w="160"/>
            </w:tcMar>
          </w:tcPr>
          <w:p>
            <w:pPr>
              <w:spacing w:after="0"/>
            </w:pPr>
            <w:r>
              <w:rPr>
                <w:b w:val="false"/>
                <w:bCs w:val="false"/>
                <w:color w:val="26282C"/>
                <w:sz w:val="20"/>
                <w:szCs w:val="20"/>
              </w:rPr>
              <w:t xml:space="preserve">Author</w:t>
            </w:r>
          </w:p>
        </w:tc>
        <w:tc>
          <w:tcPr>
            <w:tcW w:type="dxa" w:w="6760"/>
            <w:shd w:fill="F7F8FA" w:color="auto" w:val="clear"/>
            <w:tcMar>
              <w:top w:type="dxa" w:w="120"/>
              <w:left w:type="dxa" w:w="160"/>
              <w:bottom w:type="dxa" w:w="120"/>
              <w:right w:type="dxa" w:w="160"/>
            </w:tcMar>
          </w:tcPr>
          <w:p>
            <w:pPr>
              <w:spacing w:after="0"/>
            </w:pPr>
            <w:r>
              <w:rPr>
                <w:b w:val="false"/>
                <w:bCs w:val="false"/>
                <w:color w:val="26282C"/>
                <w:sz w:val="20"/>
                <w:szCs w:val="20"/>
              </w:rPr>
              <w:t xml:space="preserve">Nikhil Kumar</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8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Calibri" w:cs="Calibri" w:eastAsia="Calibri" w:hAnsi="Calibri"/>
      <w:b/>
      <w:bCs/>
      <w:color w:val="1F2937"/>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xpr1vt6pvx-5dp0yrlre" Type="http://schemas.openxmlformats.org/officeDocument/2006/relationships/hyperlink" Target="https://github.com/nk2242696/CostMonitoringMultiAgent" TargetMode="External"/><Relationship Id="rIdvkjioomlfkm1diazo3rso" Type="http://schemas.openxmlformats.org/officeDocument/2006/relationships/hyperlink" Target="https://github.com/nk2242696/CostMonitoringMultiAgent" TargetMode="External"/><Relationship Id="rId7" Type="http://schemas.openxmlformats.org/officeDocument/2006/relationships/image" Target="media/1768d1587ac383b41bfcef95569b0ad33ddbd80d.png"/><Relationship Id="rId8" Type="http://schemas.openxmlformats.org/officeDocument/2006/relationships/image" Target="media/98bbc8a337a00b96dce643ecf709e2ea9c3a7304.png"/><Relationship Id="rId9" Type="http://schemas.openxmlformats.org/officeDocument/2006/relationships/image" Target="media/a003155dde17339355abc5d65a709a429cc119b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2026-07-28T04:02:33.500Z</dcterms:created>
  <dcterms:modified xsi:type="dcterms:W3CDTF">2026-07-28T04:02:33.514Z</dcterms:modified>
</cp:coreProperties>
</file>

<file path=docProps/custom.xml><?xml version="1.0" encoding="utf-8"?>
<Properties xmlns="http://schemas.openxmlformats.org/officeDocument/2006/custom-properties" xmlns:vt="http://schemas.openxmlformats.org/officeDocument/2006/docPropsVTypes"/>
</file>