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0077CC"/>
          <w:sz w:val="52"/>
          <w:szCs w:val="52"/>
        </w:rPr>
        <w:t xml:space="preserve">2026 EX Maturity Strategy</w:t>
      </w:r>
    </w:p>
    <w:p>
      <w:pPr>
        <w:spacing w:after="40" w:before="0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Program Growth + Guided Experiences  |  Internal Summary</w:t>
      </w:r>
    </w:p>
    <w:p>
      <w:pPr>
        <w:spacing w:after="0" w:before="0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March 2026  |  EX Product</w:t>
      </w:r>
    </w:p>
    <w:p>
      <w:pPr>
        <w:pBdr>
          <w:bottom w:val="single" w:color="DDDDDD" w:sz="4"/>
        </w:pBdr>
        <w:spacing w:after="160" w:before="1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The problem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Most EX customers do not reach their program's potential. They run an annual survey, check a few charts, and wait until next year. Two barriers drive this:</w:t>
      </w:r>
    </w:p>
    <w:p>
      <w:pPr>
        <w:spacing w:after="4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color="F0F4F8" w:val="solid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9"/>
                <w:szCs w:val="19"/>
              </w:rPr>
              <w:t xml:space="preserve">Awareness gap</w:t>
            </w:r>
          </w:p>
        </w:tc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color="FFFFFF" w:val="solid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9"/>
                <w:szCs w:val="19"/>
              </w:rPr>
              <w:t xml:space="preserve">Customers do not know what capabilities they are missing or what those capabilities would do for their program.</w:t>
            </w:r>
          </w:p>
        </w:tc>
      </w:tr>
      <w:tr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color="F8F8F8" w:val="solid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9"/>
                <w:szCs w:val="19"/>
              </w:rPr>
              <w:t xml:space="preserve">Configuration gap</w:t>
            </w:r>
          </w:p>
        </w:tc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color="FFFFFF" w:val="solid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9"/>
                <w:szCs w:val="19"/>
              </w:rPr>
              <w:t xml:space="preserve">Even when customers are aware of a feature, setting it up requires navigating multiple screens without sufficient guidance.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The approach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A two-layer intervention addresses both barriers:</w:t>
      </w:r>
    </w:p>
    <w:p>
      <w:pPr>
        <w:spacing w:after="40" w:before="0"/>
      </w:pPr>
    </w:p>
    <w:p>
      <w:pPr>
        <w:pStyle w:val="ListParagraph"/>
        <w:numPr>
          <w:ilvl w:val="0"/>
          <w:numId w:val="1"/>
        </w:numPr>
        <w:spacing w:after="60" w:before="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Program Growth tab (shipped)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 permanent tab in the project navigation surfaces outcome-focused recommendations driven by the customer's actual account data. Each recommendation explains the business value and, where relevant, offers multiple paths so customers choose the approach that fits their program.</w:t>
      </w:r>
    </w:p>
    <w:p>
      <w:pPr>
        <w:pStyle w:val="ListParagraph"/>
        <w:numPr>
          <w:ilvl w:val="0"/>
          <w:numId w:val="1"/>
        </w:numPr>
        <w:spacing w:after="60" w:before="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Guided Experiences (to build)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For each recommended action, a structured in-product flow walks the customer through setup without requiring manual navigation. Built as extensions of the existing Guided Engagement Program (GEP) framework.</w:t>
      </w:r>
    </w:p>
    <w:p>
      <w:pPr>
        <w:spacing w:after="80" w:before="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11 recommendations across three categories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Recommendations are organized to mirror the EX maturity framework. Customers see a maximum of five by default, with a "Show more" option.</w:t>
      </w:r>
    </w:p>
    <w:p>
      <w:pPr>
        <w:spacing w:after="8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color="0077CC" w:val="solid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8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LISTEN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Listen more than once a year (Pulse or 360)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Capture feedback at key employee moments (Lifecycle)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Get more actionable open-ended responses (Response Clarity or Adaptive Follow-Up)</w:t>
            </w:r>
          </w:p>
        </w:tc>
        <w:tc>
          <w:tcPr>
            <w:tcW w:type="dxa" w:w="31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color="6B47DC" w:val="solid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8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UNDERSTAND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Unlock insights from open-ended feedback (Text iQ)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Get results to the people who can act (Manager dashboards)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Understand what scores actually mean (Benchmarks or Stats iQ)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Let AI surface what matters (Qualtrics Assist, Comment Summaries, Insights Explorer)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Connect data across programs (Employee Journey Analytics)</w:t>
            </w:r>
          </w:p>
        </w:tc>
        <w:tc>
          <w:tcPr>
            <w:tcW w:type="dxa" w:w="312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color="0B8043" w:val="solid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8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Turn insights into concrete improvements (Action plans or Idea Boards)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Automate follow-ups so nothing falls through (Workflows)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Design principles</w:t>
      </w:r>
    </w:p>
    <w:p>
      <w:pPr>
        <w:spacing w:after="40" w:before="0"/>
      </w:pPr>
    </w:p>
    <w:p>
      <w:pPr>
        <w:pStyle w:val="ListParagraph"/>
        <w:numPr>
          <w:ilvl w:val="0"/>
          <w:numId w:val="1"/>
        </w:numPr>
        <w:spacing w:after="60" w:before="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Outcome-first.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Recommendations lead with the business goal, not the product feature.</w:t>
      </w:r>
    </w:p>
    <w:p>
      <w:pPr>
        <w:pStyle w:val="ListParagraph"/>
        <w:numPr>
          <w:ilvl w:val="0"/>
          <w:numId w:val="1"/>
        </w:numPr>
        <w:spacing w:after="60" w:before="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Personalized.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Copy references the customer's actual data: response counts, feature gaps, dashboard usage.</w:t>
      </w:r>
    </w:p>
    <w:p>
      <w:pPr>
        <w:pStyle w:val="ListParagraph"/>
        <w:numPr>
          <w:ilvl w:val="0"/>
          <w:numId w:val="1"/>
        </w:numPr>
        <w:spacing w:after="60" w:before="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Options, not mandates.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Where two features address the same goal (e.g., Pulse vs. 360), the customer sees both with context and chooses.</w:t>
      </w:r>
    </w:p>
    <w:p>
      <w:pPr>
        <w:pStyle w:val="ListParagraph"/>
        <w:numPr>
          <w:ilvl w:val="0"/>
          <w:numId w:val="1"/>
        </w:numPr>
        <w:spacing w:after="60" w:before="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Maturity scoring is internal.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The L1-L4 EX maturity model drives recommendation ranking. Customers never see a score or level.</w:t>
      </w:r>
    </w:p>
    <w:p>
      <w:pPr>
        <w:spacing w:after="80" w:before="0"/>
      </w:pPr>
    </w:p>
    <w:p>
      <w:pPr>
        <w:pBdr>
          <w:bottom w:val="single" w:color="DDDDDD" w:sz="4"/>
        </w:pBdr>
        <w:spacing w:after="160" w:before="1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Roadmap</w:t>
      </w:r>
    </w:p>
    <w:p>
      <w:pPr>
        <w:spacing w:after="40" w:before="0"/>
      </w:pP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color="F0F4F8" w:val="solid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9"/>
                <w:szCs w:val="19"/>
              </w:rPr>
              <w:t xml:space="preserve">Phase 1: Program Growth Tab</w:t>
            </w:r>
          </w:p>
        </w:tc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color="FFFFFF" w:val="solid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9"/>
                <w:szCs w:val="19"/>
              </w:rPr>
              <w:t xml:space="preserve">Complete. Recommendations surface in-product, grouped by Listen / Understand / Act. Account-state-driven logic determines which show.</w:t>
            </w:r>
          </w:p>
        </w:tc>
      </w:tr>
      <w:tr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color="F8F8F8" w:val="solid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9"/>
                <w:szCs w:val="19"/>
              </w:rPr>
              <w:t xml:space="preserve">Phase 2: Priority Guided Experiences (Q3 2026)</w:t>
            </w:r>
          </w:p>
        </w:tc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color="FFFFFF" w:val="solid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9"/>
                <w:szCs w:val="19"/>
              </w:rPr>
              <w:t xml:space="preserve">Three high-impact guided flows: Text iQ setup, 360 project creation, benchmark builder.</w:t>
            </w:r>
          </w:p>
        </w:tc>
      </w:tr>
      <w:tr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color="F0F4F8" w:val="solid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9"/>
                <w:szCs w:val="19"/>
              </w:rPr>
              <w:t xml:space="preserve">Phase 3: Extended Guided Experiences (Q4 2026 onward)</w:t>
            </w:r>
          </w:p>
        </w:tc>
        <w:tc>
          <w:tcPr>
            <w:tcW w:type="dxa" w:w="46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color="FFFFFF" w:val="solid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9"/>
                <w:szCs w:val="19"/>
              </w:rPr>
              <w:t xml:space="preserve">Remaining recommendations get guided flows &amp; continuous improvements to existing flows.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How we measure success</w:t>
      </w:r>
    </w:p>
    <w:p>
      <w:pPr>
        <w:spacing w:after="40" w:before="0"/>
      </w:pPr>
    </w:p>
    <w:p>
      <w:pPr>
        <w:pStyle w:val="ListParagraph"/>
        <w:numPr>
          <w:ilvl w:val="0"/>
          <w:numId w:val="1"/>
        </w:numPr>
        <w:spacing w:after="60" w:before="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Primary.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Feature activation rate for recommended capabilities within 90 days of recommendation view.</w:t>
      </w:r>
    </w:p>
    <w:p>
      <w:pPr>
        <w:pStyle w:val="ListParagraph"/>
        <w:numPr>
          <w:ilvl w:val="0"/>
          <w:numId w:val="1"/>
        </w:numPr>
        <w:spacing w:after="60" w:before="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Secondary.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Guided experience completion rate; time-to-first-value for recommended features.</w:t>
      </w:r>
    </w:p>
    <w:p>
      <w:pPr>
        <w:pStyle w:val="ListParagraph"/>
        <w:numPr>
          <w:ilvl w:val="0"/>
          <w:numId w:val="1"/>
        </w:numPr>
        <w:spacing w:after="60" w:before="2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Not the goal.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Impression counts or nudge views. Success is value realization, not message volume.</w:t>
      </w:r>
    </w:p>
    <w:p>
      <w:pPr>
        <w:spacing w:after="80" w:before="0"/>
      </w:pPr>
    </w:p>
    <w:p>
      <w:pPr>
        <w:pBdr>
          <w:bottom w:val="single" w:color="DDDDDD" w:sz="4"/>
        </w:pBdr>
        <w:spacing w:after="160" w:before="160"/>
      </w:pP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color w:val="888888"/>
          <w:sz w:val="18"/>
          <w:szCs w:val="18"/>
        </w:rPr>
        <w:t xml:space="preserve">For full detail, see: 2026 EX Maturity Strategy (full document) and Program Growth: Maturity Framework Mapping.</w:t>
      </w:r>
    </w:p>
    <w:sectPr>
      <w:pgSz w:w="11906" w:h="16838" w:orient="portrait"/>
      <w:pgMar w:top="1080" w:right="1296" w:bottom="108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2026-03-31T02:25:30.860Z</dcterms:created>
  <dcterms:modified xsi:type="dcterms:W3CDTF">2026-03-31T02:25:30.861Z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