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libri" w:cs="Calibri" w:eastAsia="Calibri" w:hAnsi="Calibri"/>
          <w:b/>
          <w:bCs/>
          <w:color w:val="0077CC"/>
          <w:sz w:val="52"/>
          <w:szCs w:val="52"/>
        </w:rPr>
        <w:t xml:space="preserve">2026 EX Maturity Strategy</w:t>
      </w:r>
    </w:p>
    <w:p>
      <w:pPr>
        <w:spacing w:after="40" w:before="0"/>
      </w:pPr>
      <w:r>
        <w:rPr>
          <w:rFonts w:ascii="Calibri" w:cs="Calibri" w:eastAsia="Calibri" w:hAnsi="Calibri"/>
          <w:color w:val="888888"/>
          <w:sz w:val="22"/>
          <w:szCs w:val="22"/>
        </w:rPr>
        <w:t xml:space="preserve">Program Growth + Guided Experiences  |  Internal Summary</w:t>
      </w:r>
    </w:p>
    <w:p>
      <w:pPr>
        <w:spacing w:after="0" w:before="0"/>
      </w:pPr>
      <w:r>
        <w:rPr>
          <w:rFonts w:ascii="Calibri" w:cs="Calibri" w:eastAsia="Calibri" w:hAnsi="Calibri"/>
          <w:color w:val="888888"/>
          <w:sz w:val="20"/>
          <w:szCs w:val="20"/>
        </w:rPr>
        <w:t xml:space="preserve">March 2026  |  EX Product</w:t>
      </w:r>
    </w:p>
    <w:p>
      <w:pPr>
        <w:pBdr>
          <w:bottom w:val="single" w:color="DDDDDD" w:sz="4"/>
        </w:pBdr>
        <w:spacing w:after="160" w:before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The problem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color w:val="444444"/>
          <w:sz w:val="20"/>
          <w:szCs w:val="20"/>
        </w:rPr>
        <w:t xml:space="preserve">Most EX customers do not reach their program's potential. They run an annual survey, check a few charts, and wait until next year. Two barriers drive this:</w:t>
      </w:r>
    </w:p>
    <w:p>
      <w:pPr>
        <w:spacing w:after="40" w:before="0"/>
      </w:pP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46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color="F0F4F8" w:val="solid"/>
            <w:tcMar>
              <w:top w:type="dxa" w:w="86"/>
              <w:left w:type="dxa" w:w="144"/>
              <w:bottom w:type="dxa" w:w="86"/>
              <w:right w:type="dxa" w:w="144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Awareness gap</w:t>
            </w:r>
          </w:p>
        </w:tc>
        <w:tc>
          <w:tcPr>
            <w:tcW w:type="dxa" w:w="46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color="FFFFFF" w:val="solid"/>
            <w:tcMar>
              <w:top w:type="dxa" w:w="86"/>
              <w:left w:type="dxa" w:w="144"/>
              <w:bottom w:type="dxa" w:w="86"/>
              <w:right w:type="dxa" w:w="144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19"/>
                <w:szCs w:val="19"/>
              </w:rPr>
              <w:t xml:space="preserve">Customers do not know what capabilities they are missing or what those capabilities would do for their program.</w:t>
            </w:r>
          </w:p>
        </w:tc>
      </w:tr>
      <w:tr>
        <w:tc>
          <w:tcPr>
            <w:tcW w:type="dxa" w:w="46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color="F8F8F8" w:val="solid"/>
            <w:tcMar>
              <w:top w:type="dxa" w:w="86"/>
              <w:left w:type="dxa" w:w="144"/>
              <w:bottom w:type="dxa" w:w="86"/>
              <w:right w:type="dxa" w:w="144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Configuration gap</w:t>
            </w:r>
          </w:p>
        </w:tc>
        <w:tc>
          <w:tcPr>
            <w:tcW w:type="dxa" w:w="46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color="FFFFFF" w:val="solid"/>
            <w:tcMar>
              <w:top w:type="dxa" w:w="86"/>
              <w:left w:type="dxa" w:w="144"/>
              <w:bottom w:type="dxa" w:w="86"/>
              <w:right w:type="dxa" w:w="144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19"/>
                <w:szCs w:val="19"/>
              </w:rPr>
              <w:t xml:space="preserve">Even when customers are aware of a feature, setting it up requires navigating multiple screens without guidance.</w:t>
            </w:r>
          </w:p>
        </w:tc>
      </w:tr>
    </w:tbl>
    <w:p>
      <w:pPr>
        <w:spacing w:after="80" w:before="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The approach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color w:val="444444"/>
          <w:sz w:val="20"/>
          <w:szCs w:val="20"/>
        </w:rPr>
        <w:t xml:space="preserve">A two-layer intervention addresses both barriers:</w:t>
      </w:r>
    </w:p>
    <w:p>
      <w:pPr>
        <w:spacing w:after="40" w:before="0"/>
      </w:pPr>
    </w:p>
    <w:p>
      <w:pPr>
        <w:pStyle w:val="ListParagraph"/>
        <w:numPr>
          <w:ilvl w:val="0"/>
          <w:numId w:val="1"/>
        </w:numPr>
        <w:spacing w:after="60" w:before="20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Program Growth tab (shipped)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A permanent tab in the project navigation surfaces outcome-focused recommendations driven by the customer's actual account data. Each recommendation explains the business value and, where relevant, offers multiple paths so customers choose the approach that fits their program.</w:t>
      </w:r>
    </w:p>
    <w:p>
      <w:pPr>
        <w:pStyle w:val="ListParagraph"/>
        <w:numPr>
          <w:ilvl w:val="0"/>
          <w:numId w:val="1"/>
        </w:numPr>
        <w:spacing w:after="60" w:before="20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Guided Experiences (to build)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For each recommended action, a structured in-product flow walks the customer through setup without requiring manual navigation. Built as extensions of the existing Guided Engagement Program (GEP) framework.</w:t>
      </w:r>
    </w:p>
    <w:p>
      <w:pPr>
        <w:spacing w:after="80" w:before="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11 recommendations across three categories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color w:val="444444"/>
          <w:sz w:val="20"/>
          <w:szCs w:val="20"/>
        </w:rPr>
        <w:t xml:space="preserve">Recommendations are organized to mirror the EX maturity framework. Customers see a maximum of five by default, with a "Show more" option.</w:t>
      </w:r>
    </w:p>
    <w:p>
      <w:pPr>
        <w:spacing w:after="80" w:before="0"/>
      </w:pP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31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color="0077CC" w:val="solid"/>
            <w:tcMar>
              <w:top w:type="dxa" w:w="172"/>
              <w:left w:type="dxa" w:w="144"/>
              <w:bottom w:type="dxa" w:w="172"/>
              <w:right w:type="dxa" w:w="144"/>
            </w:tcMar>
          </w:tcPr>
          <w:p>
            <w:pPr>
              <w:spacing w:after="8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LISTEN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 w:before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Listen more than once a year (Pulse or 360)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 w:before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Capture feedback at key employee moments (Lifecycle)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 w:before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Get more actionable open-ended responses (Response Clarity or Adaptive Follow-Up)</w:t>
            </w:r>
          </w:p>
        </w:tc>
        <w:tc>
          <w:tcPr>
            <w:tcW w:type="dxa" w:w="31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color="6B47DC" w:val="solid"/>
            <w:tcMar>
              <w:top w:type="dxa" w:w="172"/>
              <w:left w:type="dxa" w:w="144"/>
              <w:bottom w:type="dxa" w:w="172"/>
              <w:right w:type="dxa" w:w="144"/>
            </w:tcMar>
          </w:tcPr>
          <w:p>
            <w:pPr>
              <w:spacing w:after="8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UNDERSTAND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 w:before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Unlock insights from open-ended feedback (Text iQ)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 w:before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Get results to the people who can act (Manager dashboards)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 w:before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Understand what scores actually mean (Benchmarks or Stats iQ)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 w:before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Let AI surface what matters (Qualtrics Assist, Comment Summaries, Insights Explorer)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 w:before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Connect data across programs (Employee Journey Analytics)</w:t>
            </w:r>
          </w:p>
        </w:tc>
        <w:tc>
          <w:tcPr>
            <w:tcW w:type="dxa" w:w="31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color="0B8043" w:val="solid"/>
            <w:tcMar>
              <w:top w:type="dxa" w:w="172"/>
              <w:left w:type="dxa" w:w="144"/>
              <w:bottom w:type="dxa" w:w="172"/>
              <w:right w:type="dxa" w:w="144"/>
            </w:tcMar>
          </w:tcPr>
          <w:p>
            <w:pPr>
              <w:spacing w:after="8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ACT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 w:before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Turn insights into concrete improvements (Action plans or Idea Boards)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 w:before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Automate follow-ups so nothing falls through (Workflows)</w:t>
            </w:r>
          </w:p>
        </w:tc>
      </w:tr>
    </w:tbl>
    <w:p>
      <w:pPr>
        <w:spacing w:after="80" w:before="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Design principles</w:t>
      </w:r>
    </w:p>
    <w:p>
      <w:pPr>
        <w:spacing w:after="40" w:before="0"/>
      </w:pPr>
    </w:p>
    <w:p>
      <w:pPr>
        <w:pStyle w:val="ListParagraph"/>
        <w:numPr>
          <w:ilvl w:val="0"/>
          <w:numId w:val="1"/>
        </w:numPr>
        <w:spacing w:after="60" w:before="20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Outcome-first.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Recommendations lead with the business goal, not the product feature.</w:t>
      </w:r>
    </w:p>
    <w:p>
      <w:pPr>
        <w:pStyle w:val="ListParagraph"/>
        <w:numPr>
          <w:ilvl w:val="0"/>
          <w:numId w:val="1"/>
        </w:numPr>
        <w:spacing w:after="60" w:before="20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Personalized.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Copy references the customer's actual data: response counts, feature gaps, dashboard usage.</w:t>
      </w:r>
    </w:p>
    <w:p>
      <w:pPr>
        <w:pStyle w:val="ListParagraph"/>
        <w:numPr>
          <w:ilvl w:val="0"/>
          <w:numId w:val="1"/>
        </w:numPr>
        <w:spacing w:after="60" w:before="20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Options, not mandates.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Where two features address the same goal (e.g., Pulse vs. 360), the customer sees both with context and chooses.</w:t>
      </w:r>
    </w:p>
    <w:p>
      <w:pPr>
        <w:pStyle w:val="ListParagraph"/>
        <w:numPr>
          <w:ilvl w:val="0"/>
          <w:numId w:val="1"/>
        </w:numPr>
        <w:spacing w:after="60" w:before="20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Maturity scoring is internal.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The L1-L4 EX maturity model drives recommendation ranking. Customers never see a score or level.</w:t>
      </w:r>
    </w:p>
    <w:p>
      <w:pPr>
        <w:spacing w:after="80" w:before="0"/>
      </w:pPr>
    </w:p>
    <w:p>
      <w:pPr>
        <w:pBdr>
          <w:bottom w:val="single" w:color="DDDDDD" w:sz="4"/>
        </w:pBdr>
        <w:spacing w:after="160" w:before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Roadmap</w:t>
      </w:r>
    </w:p>
    <w:p>
      <w:pPr>
        <w:spacing w:after="40" w:before="0"/>
      </w:pP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46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color="F0F4F8" w:val="solid"/>
            <w:tcMar>
              <w:top w:type="dxa" w:w="86"/>
              <w:left w:type="dxa" w:w="144"/>
              <w:bottom w:type="dxa" w:w="86"/>
              <w:right w:type="dxa" w:w="144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Phase 1: Program Growth Tab</w:t>
            </w:r>
          </w:p>
        </w:tc>
        <w:tc>
          <w:tcPr>
            <w:tcW w:type="dxa" w:w="46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color="FFFFFF" w:val="solid"/>
            <w:tcMar>
              <w:top w:type="dxa" w:w="86"/>
              <w:left w:type="dxa" w:w="144"/>
              <w:bottom w:type="dxa" w:w="86"/>
              <w:right w:type="dxa" w:w="144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19"/>
                <w:szCs w:val="19"/>
              </w:rPr>
              <w:t xml:space="preserve">Complete. Recommendations surface in-product, grouped by Listen / Understand / Act. Account-state-driven logic determines which show.</w:t>
            </w:r>
          </w:p>
        </w:tc>
      </w:tr>
      <w:tr>
        <w:tc>
          <w:tcPr>
            <w:tcW w:type="dxa" w:w="46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color="F8F8F8" w:val="solid"/>
            <w:tcMar>
              <w:top w:type="dxa" w:w="86"/>
              <w:left w:type="dxa" w:w="144"/>
              <w:bottom w:type="dxa" w:w="86"/>
              <w:right w:type="dxa" w:w="144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Phase 2: Priority Guided Experiences (Q2 2026)</w:t>
            </w:r>
          </w:p>
        </w:tc>
        <w:tc>
          <w:tcPr>
            <w:tcW w:type="dxa" w:w="46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color="FFFFFF" w:val="solid"/>
            <w:tcMar>
              <w:top w:type="dxa" w:w="86"/>
              <w:left w:type="dxa" w:w="144"/>
              <w:bottom w:type="dxa" w:w="86"/>
              <w:right w:type="dxa" w:w="144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19"/>
                <w:szCs w:val="19"/>
              </w:rPr>
              <w:t xml:space="preserve">Three high-impact guided flows: Text iQ setup, Pulse survey creation, Manager dashboard configuration.</w:t>
            </w:r>
          </w:p>
        </w:tc>
      </w:tr>
      <w:tr>
        <w:tc>
          <w:tcPr>
            <w:tcW w:type="dxa" w:w="46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color="F0F4F8" w:val="solid"/>
            <w:tcMar>
              <w:top w:type="dxa" w:w="86"/>
              <w:left w:type="dxa" w:w="144"/>
              <w:bottom w:type="dxa" w:w="86"/>
              <w:right w:type="dxa" w:w="144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Phase 3: Extended Guided Experiences (Q4 2026)</w:t>
            </w:r>
          </w:p>
        </w:tc>
        <w:tc>
          <w:tcPr>
            <w:tcW w:type="dxa" w:w="46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color="FFFFFF" w:val="solid"/>
            <w:tcMar>
              <w:top w:type="dxa" w:w="86"/>
              <w:left w:type="dxa" w:w="144"/>
              <w:bottom w:type="dxa" w:w="86"/>
              <w:right w:type="dxa" w:w="144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19"/>
                <w:szCs w:val="19"/>
              </w:rPr>
              <w:t xml:space="preserve">Remaining recommendations get guided flows. Qualtrics Assist integration for natural-language guidance.</w:t>
            </w:r>
          </w:p>
        </w:tc>
      </w:tr>
    </w:tbl>
    <w:p>
      <w:pPr>
        <w:spacing w:after="80" w:before="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How we measure success</w:t>
      </w:r>
    </w:p>
    <w:p>
      <w:pPr>
        <w:spacing w:after="40" w:before="0"/>
      </w:pPr>
    </w:p>
    <w:p>
      <w:pPr>
        <w:pStyle w:val="ListParagraph"/>
        <w:numPr>
          <w:ilvl w:val="0"/>
          <w:numId w:val="1"/>
        </w:numPr>
        <w:spacing w:after="60" w:before="20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Primary.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Feature activation rate for recommended capabilities within 90 days of recommendation view.</w:t>
      </w:r>
    </w:p>
    <w:p>
      <w:pPr>
        <w:pStyle w:val="ListParagraph"/>
        <w:numPr>
          <w:ilvl w:val="0"/>
          <w:numId w:val="1"/>
        </w:numPr>
        <w:spacing w:after="60" w:before="20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Secondary.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Guided experience completion rate; time-to-first-value for recommended features.</w:t>
      </w:r>
    </w:p>
    <w:p>
      <w:pPr>
        <w:pStyle w:val="ListParagraph"/>
        <w:numPr>
          <w:ilvl w:val="0"/>
          <w:numId w:val="1"/>
        </w:numPr>
        <w:spacing w:after="60" w:before="20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Not the goal.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Impression counts or nudge views. Success is value realization, not message volume.</w:t>
      </w:r>
    </w:p>
    <w:p>
      <w:pPr>
        <w:spacing w:after="80" w:before="0"/>
      </w:pPr>
    </w:p>
    <w:p>
      <w:pPr>
        <w:pBdr>
          <w:bottom w:val="single" w:color="DDDDDD" w:sz="4"/>
        </w:pBdr>
        <w:spacing w:after="160" w:before="160"/>
      </w:pP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color w:val="888888"/>
          <w:sz w:val="18"/>
          <w:szCs w:val="18"/>
        </w:rPr>
        <w:t xml:space="preserve">For full detail, see: 2026 EX Maturity Strategy (full document) and Program Growth: Maturity Framework Mapping.</w:t>
      </w:r>
    </w:p>
    <w:sectPr>
      <w:pgSz w:w="11906" w:h="16838" w:orient="portrait"/>
      <w:pgMar w:top="1080" w:right="1296" w:bottom="1080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4444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2026-03-31T02:15:17.569Z</dcterms:created>
  <dcterms:modified xsi:type="dcterms:W3CDTF">2026-03-31T02:15:17.570Z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