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Recommended Interventions: A PM Framework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v2 draft</w:t>
      </w:r>
    </w:p>
    <w:p>
      <w:pPr>
        <w:spacing w:after="120"/>
      </w:pPr>
      <w:r>
        <w:rPr>
          <w:b/>
          <w:bCs/>
        </w:rPr>
        <w:t xml:space="preserve">Audience: </w:t>
      </w:r>
      <w:r>
        <w:t xml:space="preserve">Product Managers proposing or reviewing new recommended actions in EX</w:t>
      </w:r>
    </w:p>
    <w:p>
      <w:pPr>
        <w:spacing w:after="120"/>
      </w:pPr>
      <w:r>
        <w:rPr>
          <w:b/>
          <w:bCs/>
        </w:rPr>
        <w:t xml:space="preserve">Canonical types: </w:t>
      </w:r>
      <w:r>
        <w:rPr>
          <w:rFonts w:ascii="Courier New" w:cs="Courier New" w:eastAsia="Courier New" w:hAnsi="Courier New"/>
          <w:sz w:val="20"/>
          <w:szCs w:val="20"/>
        </w:rPr>
        <w:t xml:space="preserve">src/types/index.ts (GrowthAction, GrowthOption, GrowthCategory)</w:t>
      </w:r>
    </w:p>
    <w:p>
      <w:pPr>
        <w:spacing w:after="120"/>
      </w:pPr>
      <w:r>
        <w:rPr>
          <w:b/>
          <w:bCs/>
        </w:rPr>
        <w:t xml:space="preserve">Live engine: </w:t>
      </w:r>
      <w:r>
        <w:rPr>
          <w:rFonts w:ascii="Courier New" w:cs="Courier New" w:eastAsia="Courier New" w:hAnsi="Courier New"/>
          <w:sz w:val="20"/>
          <w:szCs w:val="20"/>
        </w:rPr>
        <w:t xml:space="preserve">src/data/maturityActions.ts (generateGrowthActions)</w:t>
      </w:r>
    </w:p>
    <w:p>
      <w:pPr>
        <w:spacing w:after="120"/>
      </w:pPr>
      <w:r>
        <w:rPr>
          <w:b/>
          <w:bCs/>
        </w:rPr>
        <w:t xml:space="preserve">Companion docs: </w:t>
      </w:r>
      <w:r>
        <w:t xml:space="preserve">2026-EX-Maturity-Strategy.docx, program-growth-maturity-mapping.docx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Why this exists</w:t>
      </w:r>
    </w:p>
    <w:p>
      <w:pPr>
        <w:spacing w:after="120"/>
      </w:pPr>
      <w:r>
        <w:t xml:space="preserve">We have two recommendation surfaces in the EX product: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 page nudge </w:t>
      </w:r>
      <w:r>
        <w:t xml:space="preserve">— one highly visible recommendation. Today this is hard-coded to the listening-frequency family (</w:t>
      </w:r>
      <w:r>
        <w:rPr>
          <w:rFonts w:ascii="Courier New" w:cs="Courier New" w:eastAsia="Courier New" w:hAnsi="Courier New"/>
          <w:sz w:val="20"/>
          <w:szCs w:val="20"/>
        </w:rPr>
        <w:t xml:space="preserve">HomeListeningNudge.tsx</w:t>
      </w:r>
      <w:r>
        <w:t xml:space="preserve">). Most admins see this; very few will navigate deeper unless we tell them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 Growth tab </w:t>
      </w:r>
      <w:r>
        <w:t xml:space="preserve">— the full Listen / Understand / Act framework rendered by </w:t>
      </w:r>
      <w:r>
        <w:rPr>
          <w:rFonts w:ascii="Courier New" w:cs="Courier New" w:eastAsia="Courier New" w:hAnsi="Courier New"/>
          <w:sz w:val="20"/>
          <w:szCs w:val="20"/>
        </w:rPr>
        <w:t xml:space="preserve">ProgramGrowthTab.tsx</w:t>
      </w:r>
      <w:r>
        <w:t xml:space="preserve">, fed by </w:t>
      </w:r>
      <w:r>
        <w:rPr>
          <w:rFonts w:ascii="Courier New" w:cs="Courier New" w:eastAsia="Courier New" w:hAnsi="Courier New"/>
          <w:sz w:val="20"/>
          <w:szCs w:val="20"/>
        </w:rPr>
        <w:t xml:space="preserve">generateGrowthActions()</w:t>
      </w:r>
      <w:r>
        <w:t xml:space="preserve">. Lower visual density per card, all interventions visible.</w:t>
      </w:r>
    </w:p>
    <w:p>
      <w:pPr>
        <w:spacing w:after="120"/>
      </w:pPr>
      <w:r>
        <w:t xml:space="preserve">Both surfaces draw from the same </w:t>
      </w:r>
      <w:r>
        <w:rPr>
          <w:rFonts w:ascii="Courier New" w:cs="Courier New" w:eastAsia="Courier New" w:hAnsi="Courier New"/>
          <w:sz w:val="20"/>
          <w:szCs w:val="20"/>
        </w:rPr>
        <w:t xml:space="preserve">AccountState</w:t>
      </w:r>
      <w:r>
        <w:t xml:space="preserve"> derived in </w:t>
      </w:r>
      <w:r>
        <w:rPr>
          <w:rFonts w:ascii="Courier New" w:cs="Courier New" w:eastAsia="Courier New" w:hAnsi="Courier New"/>
          <w:sz w:val="20"/>
          <w:szCs w:val="20"/>
        </w:rPr>
        <w:t xml:space="preserve">deriveAccountState()</w:t>
      </w:r>
      <w:r>
        <w:t xml:space="preserve">, and (in time) the same </w:t>
      </w:r>
      <w:r>
        <w:rPr>
          <w:rFonts w:ascii="Courier New" w:cs="Courier New" w:eastAsia="Courier New" w:hAnsi="Courier New"/>
          <w:sz w:val="20"/>
          <w:szCs w:val="20"/>
        </w:rPr>
        <w:t xml:space="preserve">GrowthAction[]</w:t>
      </w:r>
      <w:r>
        <w:t xml:space="preserve">. Without a shared framework, each PM will define an intervention differently and one or both surfaces will turn into a junk drawer.</w:t>
      </w:r>
    </w:p>
    <w:p>
      <w:pPr>
        <w:spacing w:after="120"/>
      </w:pPr>
      <w:r>
        <w:t xml:space="preserve">This doc says: every new intervention must declare the same set of fields before it ships, regardless of which surface(s) it ends up on.</w:t>
      </w:r>
    </w:p>
    <w:p>
      <w:pPr>
        <w:pStyle w:val="Heading1"/>
        <w:spacing w:after="120" w:before="240"/>
      </w:pPr>
      <w:r>
        <w:t xml:space="preserve">What an intervention is</w:t>
      </w:r>
    </w:p>
    <w:p>
      <w:pPr>
        <w:spacing w:after="120"/>
      </w:pPr>
      <w:r>
        <w:t xml:space="preserve">An </w:t>
      </w:r>
      <w:r>
        <w:rPr>
          <w:b/>
          <w:bCs/>
        </w:rPr>
        <w:t xml:space="preserve">intervention</w:t>
      </w:r>
      <w:r>
        <w:t xml:space="preserve"> is a single recommended action that: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Activates based on the brand’s </w:t>
      </w:r>
      <w:r>
        <w:rPr>
          <w:rFonts w:ascii="Courier New" w:cs="Courier New" w:eastAsia="Courier New" w:hAnsi="Courier New"/>
          <w:sz w:val="20"/>
          <w:szCs w:val="20"/>
        </w:rPr>
        <w:t xml:space="preserve">AccountState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Surfaces on at least one defined surface (home and/or EX Growth)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Drives the brand toward a measurable outcome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 be dismissed, snoozed, configured, or actioned</w:t>
      </w:r>
    </w:p>
    <w:p>
      <w:pPr>
        <w:spacing w:after="120"/>
      </w:pPr>
      <w:r>
        <w:t xml:space="preserve">If your idea can’t be expressed as </w:t>
      </w:r>
      <w:r>
        <w:rPr>
          <w:i/>
          <w:iCs/>
        </w:rPr>
        <w:t xml:space="preserve">“when X is true about this brand, recommend they do Y, and we’ll know it worked if Z”</w:t>
      </w:r>
      <w:r>
        <w:t xml:space="preserve"> — it’s not an intervention yet.</w:t>
      </w:r>
    </w:p>
    <w:p>
      <w:pPr>
        <w:pStyle w:val="Heading1"/>
        <w:spacing w:after="120" w:before="240"/>
      </w:pPr>
      <w:r>
        <w:t xml:space="preserve">How the framework maps to the code</w:t>
      </w:r>
    </w:p>
    <w:p>
      <w:pPr>
        <w:spacing w:after="120"/>
      </w:pPr>
      <w:r>
        <w:t xml:space="preserve">The customer-facing shape is a </w:t>
      </w:r>
      <w:r>
        <w:rPr>
          <w:rFonts w:ascii="Courier New" w:cs="Courier New" w:eastAsia="Courier New" w:hAnsi="Courier New"/>
          <w:sz w:val="20"/>
          <w:szCs w:val="20"/>
        </w:rPr>
        <w:t xml:space="preserve">GrowthAction</w:t>
      </w:r>
      <w:r>
        <w:t xml:space="preserve">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GrowthAction {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title: string;        // outcome-oriented headline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string;  // why this matters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GrowthCategory;        // 'listen' | 'understand' | 'act'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ctaLabel?: string;               // single-path actions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options?: GrowthOption[];        // multi-path actions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Fields like </w:t>
      </w:r>
      <w:r>
        <w:rPr>
          <w:i/>
          <w:iCs/>
        </w:rPr>
        <w:t xml:space="preserve">triggers</w:t>
      </w:r>
      <w:r>
        <w:t xml:space="preserve">, </w:t>
      </w:r>
      <w:r>
        <w:rPr>
          <w:i/>
          <w:iCs/>
        </w:rPr>
        <w:t xml:space="preserve">eligibility</w:t>
      </w:r>
      <w:r>
        <w:t xml:space="preserve">, </w:t>
      </w:r>
      <w:r>
        <w:rPr>
          <w:i/>
          <w:iCs/>
        </w:rPr>
        <w:t xml:space="preserve">priority weight</w:t>
      </w:r>
      <w:r>
        <w:t xml:space="preserve">, </w:t>
      </w:r>
      <w:r>
        <w:rPr>
          <w:i/>
          <w:iCs/>
        </w:rPr>
        <w:t xml:space="preserve">success metric</w:t>
      </w:r>
      <w:r>
        <w:t xml:space="preserve"> don’t live on </w:t>
      </w:r>
      <w:r>
        <w:rPr>
          <w:rFonts w:ascii="Courier New" w:cs="Courier New" w:eastAsia="Courier New" w:hAnsi="Courier New"/>
          <w:sz w:val="20"/>
          <w:szCs w:val="20"/>
        </w:rPr>
        <w:t xml:space="preserve">GrowthAction</w:t>
      </w:r>
      <w:r>
        <w:t xml:space="preserve"> directly. Today they live in the imperative logic of </w:t>
      </w:r>
      <w:r>
        <w:rPr>
          <w:rFonts w:ascii="Courier New" w:cs="Courier New" w:eastAsia="Courier New" w:hAnsi="Courier New"/>
          <w:sz w:val="20"/>
          <w:szCs w:val="20"/>
        </w:rPr>
        <w:t xml:space="preserve">generateGrowthActions()</w:t>
      </w:r>
      <w:r>
        <w:t xml:space="preserve"> (an </w:t>
      </w:r>
      <w:r>
        <w:rPr>
          <w:rFonts w:ascii="Courier New" w:cs="Courier New" w:eastAsia="Courier New" w:hAnsi="Courier New"/>
          <w:sz w:val="20"/>
          <w:szCs w:val="20"/>
        </w:rPr>
        <w:t xml:space="preserve">if</w:t>
      </w:r>
      <w:r>
        <w:t xml:space="preserve"> branch is implicitly the positive trigger; what’s missing is a negative trigger). The framework forces PMs to declare them in prose so engineering can lift them into structured fields when the engine gets formalized.</w:t>
      </w:r>
    </w:p>
    <w:p>
      <w:pPr>
        <w:spacing w:after="120"/>
      </w:pPr>
      <w:r>
        <w:rPr>
          <w:b/>
          <w:bCs/>
        </w:rPr>
        <w:t xml:space="preserve">Home eligibility is its own concept. </w:t>
      </w:r>
      <w:r>
        <w:t xml:space="preserve">Only listening-frequency interventions can be elevated to the home today (</w:t>
      </w:r>
      <w:r>
        <w:rPr>
          <w:rFonts w:ascii="Courier New" w:cs="Courier New" w:eastAsia="Courier New" w:hAnsi="Courier New"/>
          <w:sz w:val="20"/>
          <w:szCs w:val="20"/>
        </w:rPr>
        <w:t xml:space="preserve">HomeListeningNudge.tsx</w:t>
      </w:r>
      <w:r>
        <w:t xml:space="preserve"> is hard-coded to that family). When another family becomes home-eligible, we’ll need a </w:t>
      </w:r>
      <w:r>
        <w:rPr>
          <w:rFonts w:ascii="Courier New" w:cs="Courier New" w:eastAsia="Courier New" w:hAnsi="Courier New"/>
          <w:sz w:val="20"/>
          <w:szCs w:val="20"/>
        </w:rPr>
        <w:t xml:space="preserve">featured</w:t>
      </w:r>
      <w:r>
        <w:t xml:space="preserve"> or </w:t>
      </w:r>
      <w:r>
        <w:rPr>
          <w:rFonts w:ascii="Courier New" w:cs="Courier New" w:eastAsia="Courier New" w:hAnsi="Courier New"/>
          <w:sz w:val="20"/>
          <w:szCs w:val="20"/>
        </w:rPr>
        <w:t xml:space="preserve">homeEligible</w:t>
      </w:r>
      <w:r>
        <w:t xml:space="preserve"> flag and tie-breaking logic.</w:t>
      </w:r>
    </w:p>
    <w:p>
      <w:pPr>
        <w:pStyle w:val="Heading1"/>
        <w:spacing w:after="120" w:before="240"/>
      </w:pPr>
      <w:r>
        <w:t xml:space="preserve">The interventions we have today</w:t>
      </w:r>
    </w:p>
    <w:p>
      <w:pPr>
        <w:spacing w:after="120"/>
      </w:pPr>
      <w:r>
        <w:t xml:space="preserve">Worked examples. When you propose a new intervention, write a row that matches this shape.</w:t>
      </w:r>
    </w:p>
    <w:p>
      <w:pPr>
        <w:pStyle w:val="Heading2"/>
        <w:spacing w:after="120" w:before="240"/>
      </w:pPr>
      <w:r>
        <w:t xml:space="preserve">1. Improve existing program  (very-low response: &lt; 30%)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GrowthAction id: </w:t>
      </w:r>
      <w:r>
        <w:t xml:space="preserve">improve-existing-program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triggers: </w:t>
      </w:r>
      <w:r>
        <w:t xml:space="preserve">engagePulseResponseRate &lt; 0.30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Negative triggers: </w:t>
      </w:r>
      <w:r>
        <w:t xml:space="preserve">Active improvement review in flight; dismissed within last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Eligibility: </w:t>
      </w:r>
      <w:r>
        <w:t xml:space="preserve">Any EX license; admin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Surfaces: </w:t>
      </w:r>
      <w:r>
        <w:t xml:space="preserve">Home (slide 1 of 3 in carousel) + EX Growth (single card under Listen)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Personalization tokens: </w:t>
      </w:r>
      <w:r>
        <w:t xml:space="preserve">{engagePulseResponseRate}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CTA pattern: </w:t>
      </w:r>
      <w:r>
        <w:t xml:space="preserve">Guided — optional context capture, then human-in-loop with XM strategist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Conflict set: </w:t>
      </w:r>
      <w:r>
        <w:t xml:space="preserve">Complementary with Pulse and Lifecycle; takes the primary slot at this severity (severity over opportunity)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weight: </w:t>
      </w:r>
      <w:r>
        <w:t xml:space="preserve">Highest when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Success metric: </w:t>
      </w:r>
      <w:r>
        <w:t xml:space="preserve">Response rate of next annual cycle improves by ≥15 points, or strategist confirms root cause is addressed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 window: </w:t>
      </w:r>
      <w:r>
        <w:t xml:space="preserve">12 months (lift) / 2 weeks (engagement)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Resurfacing rules: </w:t>
      </w:r>
      <w:r>
        <w:t xml:space="preserve">Snooze 30 days, dismiss 90 days; re-trigger if root-cause review completes without lift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Effort estimate: </w:t>
      </w:r>
      <w:r>
        <w:t xml:space="preserve">2 min for the admin; 2–4 weeks of strategist engagement</w:t>
      </w:r>
    </w:p>
    <w:p>
      <w:pPr>
        <w:pStyle w:val="Heading2"/>
        <w:spacing w:after="120" w:before="240"/>
      </w:pPr>
      <w:r>
        <w:t xml:space="preserve">2. Pulse (manager-led local listening)  (low response: &lt; 70%)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GrowthAction id: </w:t>
      </w:r>
      <w:r>
        <w:t xml:space="preserve">enable-pulse (an option under listen-more-often in EX Growth)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triggers: </w:t>
      </w:r>
      <w:r>
        <w:t xml:space="preserve">engagePulseResponseRate &lt; 0.70; HRIS-sourced manager hierarchy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Negative triggers: </w:t>
      </w:r>
      <w:r>
        <w:t xml:space="preserve">Pulse already enabled across the org; dismissed within 60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Eligibility: </w:t>
      </w:r>
      <w:r>
        <w:t xml:space="preserve">Included in EX license; admin role; manager hierarchy from HRIS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Surfaces: </w:t>
      </w:r>
      <w:r>
        <w:t xml:space="preserve">Home (slide 1 of 2 in the low-response carousel; slide 2 of 3 in the very-low) + EX Growth (option under Listen)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Personalization tokens: </w:t>
      </w:r>
      <w:r>
        <w:t xml:space="preserve">{unheardCount}, {unheardPct}, {engagePulseInvited}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CTA pattern: </w:t>
      </w:r>
      <w:r>
        <w:t xml:space="preserve">Auto-configure — one-click enablement that cascades to all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Conflict set: </w:t>
      </w:r>
      <w:r>
        <w:t xml:space="preserve">Complementary with every other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weight: </w:t>
      </w:r>
      <w:r>
        <w:t xml:space="preserve">Primary in the low-response (&lt; 70%) carousel; secondary in very-low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Success metric: </w:t>
      </w:r>
      <w:r>
        <w:t xml:space="preserve">≥40% of managers launch a team check-in within 90 days; aggregate participation lift of +20 pts on engaged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 window: </w:t>
      </w:r>
      <w:r>
        <w:t xml:space="preserve">90 days post-enablement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Resurfacing rules: </w:t>
      </w:r>
      <w:r>
        <w:t xml:space="preserve">Snooze 60 days, dismiss 120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Effort estimate: </w:t>
      </w:r>
      <w:r>
        <w:t xml:space="preserve">5 min for the admin; managers then drive locally</w:t>
      </w:r>
    </w:p>
    <w:p>
      <w:pPr>
        <w:pStyle w:val="Heading2"/>
        <w:spacing w:after="120" w:before="240"/>
      </w:pPr>
      <w:r>
        <w:t xml:space="preserve">3. Biannual cadence  (mid response: 70–84%)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GrowthAction id: </w:t>
      </w:r>
      <w:r>
        <w:t xml:space="preserve">add-biannual-cadence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triggers: </w:t>
      </w:r>
      <w:r>
        <w:t xml:space="preserve">0.70 ≤ engagePulseResponseRate &lt; 0.85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Negative triggers: </w:t>
      </w:r>
      <w:r>
        <w:t xml:space="preserve">Biannual or quarterly already running; dismissed within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Eligibility: </w:t>
      </w:r>
      <w:r>
        <w:t xml:space="preserve">Included in EX license; admin role; inheritable annual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Surfaces: </w:t>
      </w:r>
      <w:r>
        <w:t xml:space="preserve">Home (single card) + EX Growth (single card under Listen)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Personalization tokens: </w:t>
      </w:r>
      <w:r>
        <w:t xml:space="preserve">{engagePulseResponseRate}, {engagePulseResponses}, {programName}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CTA pattern: </w:t>
      </w:r>
      <w:r>
        <w:t xml:space="preserve">Auto-configure (“Configure it for me”) or guided (“Configure myself”)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Conflict set: </w:t>
      </w:r>
      <w:r>
        <w:t xml:space="preserve">Mutually exclusive with quarterly cadence; complementary with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weight: </w:t>
      </w:r>
      <w:r>
        <w:t xml:space="preserve">Primary in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Success metric: </w:t>
      </w:r>
      <w:r>
        <w:t xml:space="preserve">First biannual completion rate ≥70%; no fatigue signal (annual response rate sustained or improved next cycle)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 window: </w:t>
      </w:r>
      <w:r>
        <w:t xml:space="preserve">6 months (biannual cycle) / 12 months (fatigue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Resurfacing rules: </w:t>
      </w:r>
      <w:r>
        <w:t xml:space="preserve">Dismiss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Effort estimate: </w:t>
      </w:r>
      <w:r>
        <w:t xml:space="preserve">~1 min when auto-configured</w:t>
      </w:r>
    </w:p>
    <w:p>
      <w:pPr>
        <w:pStyle w:val="Heading2"/>
        <w:spacing w:after="120" w:before="240"/>
      </w:pPr>
      <w:r>
        <w:t xml:space="preserve">4. Quarterly cadence  (high response: ≥ 85%)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GrowthAction id: </w:t>
      </w:r>
      <w:r>
        <w:t xml:space="preserve">add-quarterly-cadence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triggers: </w:t>
      </w:r>
      <w:r>
        <w:t xml:space="preserve">engagePulseResponseRate ≥ 0.85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Negative triggers: </w:t>
      </w:r>
      <w:r>
        <w:t xml:space="preserve">Quarterly already running; dismissed within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Eligibility: </w:t>
      </w:r>
      <w:r>
        <w:t xml:space="preserve">Included in EX license; admin role; inheritable annual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Surfaces: </w:t>
      </w:r>
      <w:r>
        <w:t xml:space="preserve">Home (single card) + EX Growth (single card under Listen)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Personalization tokens: </w:t>
      </w:r>
      <w:r>
        <w:t xml:space="preserve">{engagePulseResponseRate}, {engagePulseResponses}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CTA pattern: </w:t>
      </w:r>
      <w:r>
        <w:t xml:space="preserve">Auto-configure or guided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Conflict set: </w:t>
      </w:r>
      <w:r>
        <w:t xml:space="preserve">Mutually exclusive with biannual cadence; complementary with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weight: </w:t>
      </w:r>
      <w:r>
        <w:t xml:space="preserve">Primary in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Success metric: </w:t>
      </w:r>
      <w:r>
        <w:t xml:space="preserve">First quarterly completion rate ≥65%; sustained annual response next cycle (no fatigue)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 window: </w:t>
      </w:r>
      <w:r>
        <w:t xml:space="preserve">3 months (first cycle) / 12 months (fatigue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Resurfacing rules: </w:t>
      </w:r>
      <w:r>
        <w:t xml:space="preserve">Dismiss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Effort estimate: </w:t>
      </w:r>
      <w:r>
        <w:t xml:space="preserve">~1 min when auto-configured</w:t>
      </w:r>
    </w:p>
    <w:p>
      <w:pPr>
        <w:pStyle w:val="Heading2"/>
        <w:spacing w:after="120" w:before="240"/>
      </w:pPr>
      <w:r>
        <w:t xml:space="preserve">5. Lifecycle (onboarding)  (low response: &lt; 70%, secondary)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GrowthAction id: </w:t>
      </w:r>
      <w:r>
        <w:t xml:space="preserve">add-lifecycle-program (an option under listen-more-often)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triggers: </w:t>
      </w:r>
      <w:r>
        <w:t xml:space="preserve">engagePulseResponseRate &lt; 0.70; new hires per year &gt; 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Negative triggers: </w:t>
      </w:r>
      <w:r>
        <w:t xml:space="preserve">Lifecycle program already running; dismissed within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Eligibility: </w:t>
      </w:r>
      <w:r>
        <w:t xml:space="preserve">Requires a license expansion (sales contact); admin role; HRIS connection with hire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Surfaces: </w:t>
      </w:r>
      <w:r>
        <w:t xml:space="preserve">Home (slide 2 of low-response carousel; slide 3 of very-low) + EX Growth (option under Listen)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Personalization tokens: </w:t>
      </w:r>
      <w:r>
        <w:t xml:space="preserve">{engagePulseResponseRate}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CTA pattern: </w:t>
      </w:r>
      <w:r>
        <w:t xml:space="preserve">Human-in-loop — routes the admin to their account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Conflict set: </w:t>
      </w:r>
      <w:r>
        <w:t xml:space="preserve">Complementary with every other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weight: </w:t>
      </w:r>
      <w:r>
        <w:t xml:space="preserve">Secondary in low-response; tertiary in very-low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Success metric: </w:t>
      </w:r>
      <w:r>
        <w:t xml:space="preserve">First-year regrettable attrition reduction; new-hire participation ≥80%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 window: </w:t>
      </w:r>
      <w:r>
        <w:t xml:space="preserve">12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Resurfacing rules: </w:t>
      </w:r>
      <w:r>
        <w:t xml:space="preserve">Dismiss 6 months; re-trigger on further response-rate drop or new-hire volume increase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Effort estimate: </w:t>
      </w:r>
      <w:r>
        <w:t xml:space="preserve">2 min to request; weeks of sales cycle</w:t>
      </w:r>
    </w:p>
    <w:p>
      <w:pPr>
        <w:pStyle w:val="Heading1"/>
        <w:spacing w:after="120" w:before="240"/>
      </w:pPr>
      <w:r>
        <w:t xml:space="preserve">Required fields, explained</w:t>
      </w:r>
    </w:p>
    <w:p>
      <w:pPr>
        <w:spacing w:after="120"/>
      </w:pPr>
      <w:r>
        <w:t xml:space="preserve">Every intervention proposal must answer all of these. Field-by-field notes on what goes wrong when they’re skipped:</w:t>
      </w:r>
    </w:p>
    <w:p>
      <w:pPr>
        <w:spacing w:after="120"/>
      </w:pPr>
      <w:r>
        <w:rPr>
          <w:b/>
          <w:bCs/>
        </w:rPr>
        <w:t xml:space="preserve">GrowthAction id. </w:t>
      </w:r>
      <w:r>
        <w:t xml:space="preserve">Stable identifier used in the code (id field on GrowthAction). Once set, don’t rename — analytics and resurfacing rules depend on it.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Bumping the id every time the copy changes, breaking dismissal state.</w:t>
      </w:r>
    </w:p>
    <w:p>
      <w:pPr>
        <w:spacing w:after="120"/>
      </w:pPr>
      <w:r>
        <w:rPr>
          <w:b/>
          <w:bCs/>
        </w:rPr>
        <w:t xml:space="preserve">Positive triggers. </w:t>
      </w:r>
      <w:r>
        <w:t xml:space="preserve">The data conditions that activate this, expressed in terms of AccountState fields. Usually a threshold (response rate, headcount, time since last cycle).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Triggers written as “when the customer would benefit” instead of a queryable condition.</w:t>
      </w:r>
    </w:p>
    <w:p>
      <w:pPr>
        <w:spacing w:after="120"/>
      </w:pPr>
      <w:r>
        <w:rPr>
          <w:b/>
          <w:bCs/>
        </w:rPr>
        <w:t xml:space="preserve">Negative triggers (suppression). </w:t>
      </w:r>
      <w:r>
        <w:t xml:space="preserve">The single most overlooked field. When does this not show even though positives fire — already running, recently dismissed, anonymity floor not met, conflicting program active.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Surface fatigue from interventions that won’t take no for an answer.</w:t>
      </w:r>
    </w:p>
    <w:p>
      <w:pPr>
        <w:spacing w:after="120"/>
      </w:pPr>
      <w:r>
        <w:rPr>
          <w:b/>
          <w:bCs/>
        </w:rPr>
        <w:t xml:space="preserve">Eligibility. </w:t>
      </w:r>
      <w:r>
        <w:t xml:space="preserve">Hard gates: license tier, role/permission, required data sources, geography. Different from negative triggers — these are about can the customer act on this at all.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Recommending something they can’t buy or can’t configure.</w:t>
      </w:r>
    </w:p>
    <w:p>
      <w:pPr>
        <w:spacing w:after="120"/>
      </w:pPr>
      <w:r>
        <w:rPr>
          <w:b/>
          <w:bCs/>
        </w:rPr>
        <w:t xml:space="preserve">Surfaces. </w:t>
      </w:r>
      <w:r>
        <w:t xml:space="preserve">Where this intervention can appear (home, EX Growth, both). The home is restricted; EX Growth is default.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Assuming home eligibility without declaring it.</w:t>
      </w:r>
    </w:p>
    <w:p>
      <w:pPr>
        <w:spacing w:after="120"/>
      </w:pPr>
      <w:r>
        <w:rPr>
          <w:b/>
          <w:bCs/>
        </w:rPr>
        <w:t xml:space="preserve">Personalization tokens. </w:t>
      </w:r>
      <w:r>
        <w:t xml:space="preserve">The specific AccountState fields woven into the rendered copy. Declare them so copy is consistent, translatable, and we can swap the data source without rewriting every card.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Hard-coded numbers in copy that drift from AccountState.</w:t>
      </w:r>
    </w:p>
    <w:p>
      <w:pPr>
        <w:spacing w:after="120"/>
      </w:pPr>
      <w:r>
        <w:rPr>
          <w:b/>
          <w:bCs/>
        </w:rPr>
        <w:t xml:space="preserve">CTA pattern. </w:t>
      </w:r>
      <w:r>
        <w:t xml:space="preserve">One of: auto-configure (one click does it), guided (we walk them through), human-in-loop (we route them to a human — sales, CSM, strategist). Drives both the button label and the destination.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“Learn more” buttons that go to documentation black holes.</w:t>
      </w:r>
    </w:p>
    <w:p>
      <w:pPr>
        <w:spacing w:after="120"/>
      </w:pPr>
      <w:r>
        <w:rPr>
          <w:b/>
          <w:bCs/>
        </w:rPr>
        <w:t xml:space="preserve">Conflict set. </w:t>
      </w:r>
      <w:r>
        <w:t xml:space="preserve">Which other interventions this is mutually exclusive with vs complementary with.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Recommending biannual and quarterly side by side.</w:t>
      </w:r>
    </w:p>
    <w:p>
      <w:pPr>
        <w:spacing w:after="120"/>
      </w:pPr>
      <w:r>
        <w:rPr>
          <w:b/>
          <w:bCs/>
        </w:rPr>
        <w:t xml:space="preserve">Priority weight. </w:t>
      </w:r>
      <w:r>
        <w:t xml:space="preserve">How this ranks against other interventions that simultaneously qualify, both globally and in tie-breakers.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Primary slot decided by whoever ships last.</w:t>
      </w:r>
    </w:p>
    <w:p>
      <w:pPr>
        <w:spacing w:after="120"/>
      </w:pPr>
      <w:r>
        <w:rPr>
          <w:b/>
          <w:bCs/>
        </w:rPr>
        <w:t xml:space="preserve">Success metric + measurement window. </w:t>
      </w:r>
      <w:r>
        <w:t xml:space="preserve">What “this worked” looks like, by when. The most hand-waved field. If you can’t define it, you can’t tune the trigger or defend the surface real estate.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Interventions stay on the surface forever because nobody can prove they don’t work.</w:t>
      </w:r>
    </w:p>
    <w:p>
      <w:pPr>
        <w:spacing w:after="120"/>
      </w:pPr>
      <w:r>
        <w:rPr>
          <w:b/>
          <w:bCs/>
        </w:rPr>
        <w:t xml:space="preserve">Resurfacing rules. </w:t>
      </w:r>
      <w:r>
        <w:t xml:space="preserve">After dismiss/snooze, when do we ask again? What data change would re-trigger?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Either nagging or forgetting forever.</w:t>
      </w:r>
    </w:p>
    <w:p>
      <w:pPr>
        <w:spacing w:after="120"/>
      </w:pPr>
      <w:r>
        <w:rPr>
          <w:b/>
          <w:bCs/>
        </w:rPr>
        <w:t xml:space="preserve">Effort estimate. </w:t>
      </w:r>
      <w:r>
        <w:t xml:space="preserve">How long for the user (and any downstream party — sales, CSM, managers). Lets us sort by quick wins and set expectations. </w:t>
      </w:r>
      <w:r>
        <w:rPr>
          <w:i/>
          <w:iCs/>
        </w:rPr>
        <w:t xml:space="preserve">Failure mode: </w:t>
      </w:r>
      <w:r>
        <w:rPr>
          <w:i/>
          <w:iCs/>
        </w:rPr>
        <w:t xml:space="preserve">One-click in the demo, six-week project in reality.</w:t>
      </w:r>
    </w:p>
    <w:p>
      <w:pPr>
        <w:pStyle w:val="Heading1"/>
        <w:spacing w:after="120" w:before="240"/>
      </w:pPr>
      <w:r>
        <w:t xml:space="preserve">Definition of done</w:t>
      </w:r>
    </w:p>
    <w:p>
      <w:pPr>
        <w:spacing w:after="120"/>
      </w:pPr>
      <w:r>
        <w:t xml:space="preserve">Before proposing a new intervention to review:</w:t>
      </w:r>
    </w:p>
    <w:p>
      <w:pPr>
        <w:spacing w:after="60"/>
        <w:ind w:left="360"/>
      </w:pPr>
      <w:r>
        <w:t xml:space="preserve">☐  Every required field above is populated, not just the obvious ones</w:t>
      </w:r>
    </w:p>
    <w:p>
      <w:pPr>
        <w:spacing w:after="60"/>
        <w:ind w:left="360"/>
      </w:pPr>
      <w:r>
        <w:t xml:space="preserve">☐  The success metric is a number with a window, not a vibe</w:t>
      </w:r>
    </w:p>
    <w:p>
      <w:pPr>
        <w:spacing w:after="60"/>
        <w:ind w:left="360"/>
      </w:pPr>
      <w:r>
        <w:t xml:space="preserve">☐  You’ve checked the conflict set against every existing intervention in maturityActions.ts</w:t>
      </w:r>
    </w:p>
    <w:p>
      <w:pPr>
        <w:spacing w:after="60"/>
        <w:ind w:left="360"/>
      </w:pPr>
      <w:r>
        <w:t xml:space="preserve">☐  You’ve described the negative triggers explicitly (don’t leave them implicit)</w:t>
      </w:r>
    </w:p>
    <w:p>
      <w:pPr>
        <w:spacing w:after="60"/>
        <w:ind w:left="360"/>
      </w:pPr>
      <w:r>
        <w:t xml:space="preserve">☐  The CTA pattern matches what we can actually build now (no fictional auto-configure)</w:t>
      </w:r>
    </w:p>
    <w:p>
      <w:pPr>
        <w:spacing w:after="60"/>
        <w:ind w:left="360"/>
      </w:pPr>
      <w:r>
        <w:t xml:space="preserve">☐  There’s a resurfacing rule even if it’s “never re-ask”</w:t>
      </w:r>
    </w:p>
    <w:p>
      <w:pPr>
        <w:spacing w:after="60"/>
        <w:ind w:left="360"/>
      </w:pPr>
      <w:r>
        <w:t xml:space="preserve">☐  You’ve identified at least one existing intervention this is structurally similar to, and noted what’s different</w:t>
      </w:r>
    </w:p>
    <w:p>
      <w:pPr>
        <w:spacing w:after="60"/>
        <w:ind w:left="360"/>
      </w:pPr>
      <w:r>
        <w:t xml:space="preserve">☐  If this proposes home eligibility, you’ve made the case for displacing the current home nudge (or declaring co-existence rules)</w:t>
      </w:r>
    </w:p>
    <w:p>
      <w:pPr>
        <w:spacing w:after="120"/>
      </w:pPr>
      <w:r>
        <w:t xml:space="preserve">Reviewers can and should block on any of these. The bar is </w:t>
      </w:r>
      <w:r>
        <w:rPr>
          <w:i/>
          <w:iCs/>
        </w:rPr>
        <w:t xml:space="preserve">“is this measurable and ship-able”</w:t>
      </w:r>
      <w:r>
        <w:t xml:space="preserve"> not </w:t>
      </w:r>
      <w:r>
        <w:rPr>
          <w:i/>
          <w:iCs/>
        </w:rPr>
        <w:t xml:space="preserve">“does this sound nice.”</w:t>
      </w:r>
    </w:p>
    <w:p>
      <w:pPr>
        <w:pStyle w:val="Heading1"/>
        <w:spacing w:after="120" w:before="240"/>
      </w:pPr>
      <w:r>
        <w:t xml:space="preserve">Prioritization &amp; conflicts</w:t>
      </w:r>
    </w:p>
    <w:p>
      <w:pPr>
        <w:spacing w:after="120"/>
      </w:pPr>
      <w:r>
        <w:rPr>
          <w:b/>
          <w:bCs/>
        </w:rPr>
        <w:t xml:space="preserve">One primary slot per surface. </w:t>
      </w:r>
      <w:r>
        <w:t xml:space="preserve">Home has exactly one. EX Growth’s Listen / Understand / Act columns each have up to 3 cards. When more than three actions qualify for a column, the lower-priority ones are dropped (see </w:t>
      </w:r>
      <w:r>
        <w:rPr>
          <w:rFonts w:ascii="Courier New" w:cs="Courier New" w:eastAsia="Courier New" w:hAnsi="Courier New"/>
          <w:sz w:val="20"/>
          <w:szCs w:val="20"/>
        </w:rPr>
        <w:t xml:space="preserve">MAX_PER_COLUMN</w:t>
      </w:r>
      <w: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ProgramGrowthTab.tsx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Severity over opportunity. </w:t>
      </w:r>
      <w:r>
        <w:t xml:space="preserve">When a “fix” intervention (e.g. Improve) and an “expand” intervention (e.g. Biannual cadence) both fire, the fix wins primary. We don’t recommend doing more of a broken thing.</w:t>
      </w:r>
    </w:p>
    <w:p>
      <w:pPr>
        <w:spacing w:after="120"/>
      </w:pPr>
      <w:r>
        <w:rPr>
          <w:b/>
          <w:bCs/>
        </w:rPr>
        <w:t xml:space="preserve">Mutually exclusive ⇒ only one in the carousel. </w:t>
      </w:r>
      <w:r>
        <w:t xml:space="preserve">Biannual and quarterly should never appear together. The trigger ranges should not overlap; if they do, the framework is broken, not the intervention.</w:t>
      </w:r>
    </w:p>
    <w:p>
      <w:pPr>
        <w:spacing w:after="120"/>
      </w:pPr>
      <w:r>
        <w:rPr>
          <w:b/>
          <w:bCs/>
        </w:rPr>
        <w:t xml:space="preserve">Complementary ⇒ they can coexist. </w:t>
      </w:r>
      <w:r>
        <w:t xml:space="preserve">Pulse + Lifecycle is fine: different mechanisms, different audiences within the org.</w:t>
      </w:r>
    </w:p>
    <w:p>
      <w:pPr>
        <w:spacing w:after="120"/>
      </w:pPr>
      <w:r>
        <w:rPr>
          <w:b/>
          <w:bCs/>
        </w:rPr>
        <w:t xml:space="preserve">Tie-breakers, in order: </w:t>
      </w:r>
      <w:r>
        <w:t xml:space="preserve">(1) higher priority weight, (2) lower effort estimate, (3) shorter time-to-measurable-outcome.</w:t>
      </w:r>
    </w:p>
    <w:p>
      <w:pPr>
        <w:spacing w:after="120"/>
      </w:pPr>
      <w:r>
        <w:rPr>
          <w:b/>
          <w:bCs/>
        </w:rPr>
        <w:t xml:space="preserve">Home eligibility tie-breaker: </w:t>
      </w:r>
      <w:r>
        <w:rPr>
          <w:i/>
          <w:iCs/>
        </w:rPr>
        <w:t xml:space="preserve">not yet defined.</w:t>
      </w:r>
      <w:r>
        <w:t xml:space="preserve"> Today only the listening-frequency family is home-eligible. When that opens up, this section needs to define how the home picks its one nudge.</w:t>
      </w:r>
    </w:p>
    <w:p>
      <w:pPr>
        <w:pStyle w:val="Heading1"/>
        <w:spacing w:after="120" w:before="240"/>
      </w:pPr>
      <w:r>
        <w:t xml:space="preserve">What this doc doesn’t decide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actual visual design of cards (that’s design)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interventions ship first (that’s roadmap)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Anything about non-EX surfaces (CX, BX have their own families; framework should generalize, but examples here are EX-specific)</w:t>
      </w:r>
    </w:p>
    <w:p>
      <w:pPr>
        <w:pStyle w:val="Heading1"/>
        <w:spacing w:after="120" w:before="240"/>
      </w:pPr>
      <w:r>
        <w:t xml:space="preserve">Appendix: schema reference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GrowthAction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GrowthOption</w:t>
      </w:r>
      <w:r>
        <w:t xml:space="preserve"> are the canonical customer-facing shapes (see </w:t>
      </w:r>
      <w:r>
        <w:rPr>
          <w:rFonts w:ascii="Courier New" w:cs="Courier New" w:eastAsia="Courier New" w:hAnsi="Courier New"/>
          <w:sz w:val="20"/>
          <w:szCs w:val="20"/>
        </w:rPr>
        <w:t xml:space="preserve">src/types/index.ts</w:t>
      </w:r>
      <w:r>
        <w:t xml:space="preserve">). The fields below are the </w:t>
      </w:r>
      <w:r>
        <w:rPr>
          <w:b/>
          <w:bCs/>
        </w:rPr>
        <w:t xml:space="preserve">framework metadata</w:t>
      </w:r>
      <w:r>
        <w:t xml:space="preserve"> that hangs off each intervention. Today most of these live in the imperative logic of </w:t>
      </w:r>
      <w:r>
        <w:rPr>
          <w:rFonts w:ascii="Courier New" w:cs="Courier New" w:eastAsia="Courier New" w:hAnsi="Courier New"/>
          <w:sz w:val="20"/>
          <w:szCs w:val="20"/>
        </w:rPr>
        <w:t xml:space="preserve">generateGrowthActions()</w:t>
      </w:r>
      <w:r>
        <w:t xml:space="preserve">; making them structured is a future step.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intervention: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# Maps directly to GrowthAction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                       # GrowthAction.id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title: string                    # GrowthAction.title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string              # GrowthAction.description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"listen" | "understand" | "act"   # GrowthAction.category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cta_label: string                # GrowthAction.ctaLabel (single-path)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options:                         # GrowthAction.options (multi-path)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- id: string                   # GrowthOption.id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label: string                # GrowthOption.label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string          # GrowthOption.description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cta_label: string            # GrowthOption.ctaLabel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# Framework metadata (not yet typed in code)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family: string                   # e.g. "listen-more"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triggers: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positive: [condition]          # over AccountState fields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negative: [condition]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eligibility: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license_tier: [string]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role: [string]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required_data_sources: [string]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geographies: [string]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surfaces: ["home", "ex-growth"]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personalization_tokens: [string] # AccountState field names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cta: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pattern: "auto" | "guided" | "human-in-loop"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destination: string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conflicts: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exclusive_with: [intervention_id]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complementary_with: [intervention_id]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priority_weight: number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success: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metric: string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target: string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window: string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resurfacing: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snooze_days: number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dismiss_days: number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retrigger_on: [condition]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effort: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user_minutes: number</w:t>
      </w:r>
    </w:p>
    <w:p>
      <w:pPr>
        <w:shd w:fill="F3F4F6"/>
        <w:spacing w:after="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downstream: string</w:t>
      </w:r>
    </w:p>
    <w:p>
      <w:pPr>
        <w:spacing w:after="120"/>
      </w:pPr>
      <w:r>
        <w:t xml:space="preserve">PMs should argue about which fields belong here, not how they serialize. Engineering will translate.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2026-05-20T16:03:09.941Z</dcterms:created>
  <dcterms:modified xsi:type="dcterms:W3CDTF">2026-05-20T16:03:09.942Z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