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Severity Matrix</w:t>
      </w:r>
    </w:p>
    <w:p>
      <w:r>
        <w:rPr>
          <w:b/>
        </w:rPr>
        <w:t xml:space="preserve">Document ID: </w:t>
      </w:r>
      <w:r>
        <w:t xml:space="preserve">VAL-CS-001   </w:t>
      </w:r>
      <w:r>
        <w:rPr>
          <w:b/>
        </w:rPr>
        <w:t xml:space="preserve">Department: </w:t>
      </w:r>
      <w:r>
        <w:t xml:space="preserve">Customer Success &amp; Support   </w:t>
      </w:r>
      <w:r>
        <w:rPr>
          <w:b/>
        </w:rPr>
        <w:t xml:space="preserve">Confidentiality: </w:t>
      </w:r>
      <w:r>
        <w:t xml:space="preserve">Internal Use Only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Support Operations Lead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Reference matrix</w:t>
            </w:r>
          </w:p>
        </w:tc>
      </w:tr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2026-02-10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2026-08-10</w:t>
            </w:r>
          </w:p>
        </w:tc>
      </w:tr>
    </w:tbl>
    <w:p>
      <w:r>
        <w:t>Purpose: Defines the severity model used by OrchestrAI Support when triaging customer-reported issues, coordinating customer communication, and determining when incidents require cross-functional escalation. The matrix is optimized for retrieval around terms such as severity, priority, response time, business impact, and workaround.</w:t>
      </w:r>
    </w:p>
    <w:p>
      <w:pPr>
        <w:pStyle w:val="Heading1"/>
      </w:pPr>
      <w:r>
        <w:t>Classification rules</w:t>
      </w:r>
    </w:p>
    <w:p>
      <w:pPr>
        <w:ind w:left="288" w:hanging="216"/>
      </w:pPr>
      <w:r>
        <w:rPr>
          <w:b/>
        </w:rPr>
        <w:t xml:space="preserve">• </w:t>
      </w:r>
      <w:r>
        <w:t>Severity is based on customer business impact, not on internal effort or ticket visibility.</w:t>
      </w:r>
    </w:p>
    <w:p>
      <w:pPr>
        <w:ind w:left="288" w:hanging="216"/>
      </w:pPr>
      <w:r>
        <w:rPr>
          <w:b/>
        </w:rPr>
        <w:t xml:space="preserve">• </w:t>
      </w:r>
      <w:r>
        <w:t>When multiple symptoms are present, the highest-impact confirmed condition governs classification until the service lead explicitly downgrades the case.</w:t>
      </w:r>
    </w:p>
    <w:p>
      <w:pPr>
        <w:ind w:left="288" w:hanging="216"/>
      </w:pPr>
      <w:r>
        <w:rPr>
          <w:b/>
        </w:rPr>
        <w:t xml:space="preserve">• </w:t>
      </w:r>
      <w:r>
        <w:t>Workarounds must be usable and documented. A weak or partially manual workaround does not automatically reduce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9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Typical condition</w:t>
            </w:r>
          </w:p>
        </w:tc>
        <w:tc>
          <w:tcPr>
            <w:tcW w:type="dxa" w:w="19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19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Response target</w:t>
            </w:r>
          </w:p>
        </w:tc>
        <w:tc>
          <w:tcPr>
            <w:tcW w:type="dxa" w:w="19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Escalate to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Sev-1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Critical production outage at one or more active sites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Pick-path execution blocked, gateway fleet offline, order waves cannot be released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 minutes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 manager, Engineering incident lead, CSM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Sev-2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Major degradation with no acceptable workaround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Intermittent scanner sync failure, dashboard data delayed during active operations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hour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 manager and product duty lead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Sev-3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Localized issue or time-sensitive operational question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Role-based permission mismatch, report export issue, integration retry error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 business hours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Queue lead if aging risk appears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Sev-4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Low-impact request or general guidance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How-to questions, cosmetic UI defect, minor documentation clarification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business day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Normal queue management only</w:t>
            </w:r>
          </w:p>
        </w:tc>
      </w:tr>
    </w:tbl>
    <w:p>
      <w:pPr>
        <w:pStyle w:val="Heading1"/>
      </w:pPr>
      <w:r>
        <w:t>Reclassification guidance</w:t>
      </w:r>
    </w:p>
    <w:p>
      <w:pPr>
        <w:ind w:left="288" w:hanging="216"/>
      </w:pPr>
      <w:r>
        <w:rPr>
          <w:b/>
        </w:rPr>
        <w:t xml:space="preserve">• </w:t>
      </w:r>
      <w:r>
        <w:t>Raise severity immediately when impact spreads across multiple warehouses or when the customer has no practical fallback process.</w:t>
      </w:r>
    </w:p>
    <w:p>
      <w:pPr>
        <w:ind w:left="288" w:hanging="216"/>
      </w:pPr>
      <w:r>
        <w:rPr>
          <w:b/>
        </w:rPr>
        <w:t xml:space="preserve">• </w:t>
      </w:r>
      <w:r>
        <w:t>Downgrade only after Support validates a usable workaround with the customer and records it in PulseDesk.</w:t>
      </w:r>
    </w:p>
    <w:p>
      <w:pPr>
        <w:ind w:left="288" w:hanging="216"/>
      </w:pPr>
      <w:r>
        <w:rPr>
          <w:b/>
        </w:rPr>
        <w:t xml:space="preserve">• </w:t>
      </w:r>
      <w:r>
        <w:t>Open a parallel problem record if repeated Sev-2 or Sev-3 cases indicate a systemic product defect.</w:t>
      </w:r>
    </w:p>
    <w:p>
      <w:pPr>
        <w:pStyle w:val="Heading1"/>
      </w:pPr>
      <w:r>
        <w:t>Customer communication notes</w:t>
      </w:r>
    </w:p>
    <w:p>
      <w:pPr>
        <w:ind w:left="288" w:hanging="216"/>
      </w:pPr>
      <w:r>
        <w:rPr>
          <w:b/>
        </w:rPr>
        <w:t xml:space="preserve">• </w:t>
      </w:r>
      <w:r>
        <w:t>Sev-1 and Sev-2 cases require active update cadence ownership. The CSM manages executive stakeholders while Support manages technical status updates.</w:t>
      </w:r>
    </w:p>
    <w:p>
      <w:pPr>
        <w:ind w:left="288" w:hanging="216"/>
      </w:pPr>
      <w:r>
        <w:rPr>
          <w:b/>
        </w:rPr>
        <w:t xml:space="preserve">• </w:t>
      </w:r>
      <w:r>
        <w:t>Severity does not determine commercial concessions. That remains a separate decision path with Sales and customer leadership.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