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B7A"/>
          <w:sz w:val="17"/>
        </w:rPr>
        <w:t>ORCHESTRAI INTERNAL KNOWLEDGE BASE</w:t>
      </w:r>
    </w:p>
    <w:p>
      <w:pPr>
        <w:pStyle w:val="Title"/>
      </w:pPr>
      <w:r>
        <w:t>Escalation Handoff Note</w:t>
      </w:r>
    </w:p>
    <w:p>
      <w:r>
        <w:rPr>
          <w:b/>
        </w:rPr>
        <w:t xml:space="preserve">Document ID: </w:t>
      </w:r>
      <w:r>
        <w:t xml:space="preserve">VAL-CS-003   </w:t>
      </w:r>
      <w:r>
        <w:rPr>
          <w:b/>
        </w:rPr>
        <w:t xml:space="preserve">Department: </w:t>
      </w:r>
      <w:r>
        <w:t xml:space="preserve">Customer Success &amp; Support   </w:t>
      </w:r>
      <w:r>
        <w:rPr>
          <w:b/>
        </w:rPr>
        <w:t xml:space="preserve">Confidentiality: </w:t>
      </w:r>
      <w:r>
        <w:t xml:space="preserve">Internal Use Only   </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CE6F1"/>
            <w:tcMar>
              <w:top w:w="80" w:type="dxa"/>
              <w:start w:w="100" w:type="dxa"/>
              <w:bottom w:w="80" w:type="dxa"/>
              <w:end w:w="100" w:type="dxa"/>
            </w:tcMar>
            <w:vAlign w:val="center"/>
          </w:tcPr>
          <w:p>
            <w:r>
              <w:rPr>
                <w:b/>
              </w:rPr>
              <w:t>Owner</w:t>
            </w:r>
          </w:p>
        </w:tc>
        <w:tc>
          <w:tcPr>
            <w:tcW w:type="dxa" w:w="2484"/>
            <w:tcMar>
              <w:top w:w="80" w:type="dxa"/>
              <w:start w:w="100" w:type="dxa"/>
              <w:bottom w:w="80" w:type="dxa"/>
              <w:end w:w="100" w:type="dxa"/>
            </w:tcMar>
            <w:vAlign w:val="center"/>
          </w:tcPr>
          <w:p>
            <w:r>
              <w:t>Regional Customer Success Manager</w:t>
            </w:r>
          </w:p>
        </w:tc>
        <w:tc>
          <w:tcPr>
            <w:tcW w:type="dxa" w:w="2484"/>
            <w:shd w:fill="DCE6F1"/>
            <w:tcMar>
              <w:top w:w="80" w:type="dxa"/>
              <w:start w:w="100" w:type="dxa"/>
              <w:bottom w:w="80" w:type="dxa"/>
              <w:end w:w="100" w:type="dxa"/>
            </w:tcMar>
            <w:vAlign w:val="center"/>
          </w:tcPr>
          <w:p>
            <w:r>
              <w:rPr>
                <w:b/>
              </w:rPr>
              <w:t>Document type</w:t>
            </w:r>
          </w:p>
        </w:tc>
        <w:tc>
          <w:tcPr>
            <w:tcW w:type="dxa" w:w="2484"/>
            <w:tcMar>
              <w:top w:w="80" w:type="dxa"/>
              <w:start w:w="100" w:type="dxa"/>
              <w:bottom w:w="80" w:type="dxa"/>
              <w:end w:w="100" w:type="dxa"/>
            </w:tcMar>
            <w:vAlign w:val="center"/>
          </w:tcPr>
          <w:p>
            <w:r>
              <w:t>Handoff note</w:t>
            </w:r>
          </w:p>
        </w:tc>
      </w:tr>
      <w:tr>
        <w:tc>
          <w:tcPr>
            <w:tcW w:type="dxa" w:w="2484"/>
            <w:shd w:fill="DCE6F1"/>
            <w:tcMar>
              <w:top w:w="80" w:type="dxa"/>
              <w:start w:w="100" w:type="dxa"/>
              <w:bottom w:w="80" w:type="dxa"/>
              <w:end w:w="100" w:type="dxa"/>
            </w:tcMar>
            <w:vAlign w:val="center"/>
          </w:tcPr>
          <w:p>
            <w:r>
              <w:rPr>
                <w:b/>
              </w:rPr>
              <w:t>Effective date</w:t>
            </w:r>
          </w:p>
        </w:tc>
        <w:tc>
          <w:tcPr>
            <w:tcW w:type="dxa" w:w="2484"/>
            <w:tcMar>
              <w:top w:w="80" w:type="dxa"/>
              <w:start w:w="100" w:type="dxa"/>
              <w:bottom w:w="80" w:type="dxa"/>
              <w:end w:w="100" w:type="dxa"/>
            </w:tcMar>
            <w:vAlign w:val="center"/>
          </w:tcPr>
          <w:p>
            <w:r>
              <w:t>2026-02-10</w:t>
            </w:r>
          </w:p>
        </w:tc>
        <w:tc>
          <w:tcPr>
            <w:tcW w:type="dxa" w:w="2484"/>
            <w:shd w:fill="DCE6F1"/>
            <w:tcMar>
              <w:top w:w="80" w:type="dxa"/>
              <w:start w:w="100" w:type="dxa"/>
              <w:bottom w:w="80" w:type="dxa"/>
              <w:end w:w="100" w:type="dxa"/>
            </w:tcMar>
            <w:vAlign w:val="center"/>
          </w:tcPr>
          <w:p>
            <w:r>
              <w:rPr>
                <w:b/>
              </w:rPr>
              <w:t>Review date</w:t>
            </w:r>
          </w:p>
        </w:tc>
        <w:tc>
          <w:tcPr>
            <w:tcW w:type="dxa" w:w="2484"/>
            <w:tcMar>
              <w:top w:w="80" w:type="dxa"/>
              <w:start w:w="100" w:type="dxa"/>
              <w:bottom w:w="80" w:type="dxa"/>
              <w:end w:w="100" w:type="dxa"/>
            </w:tcMar>
            <w:vAlign w:val="center"/>
          </w:tcPr>
          <w:p>
            <w:r>
              <w:t>2026-08-10</w:t>
            </w:r>
          </w:p>
        </w:tc>
      </w:tr>
    </w:tbl>
    <w:p>
      <w:r>
        <w:t>Purpose: Provides the minimum information required when Customer Success or Support escalates an active customer situation to another internal function. This note format is designed to improve retrieval for terms such as handoff, escalation context, owner, blockers, and next update.</w:t>
      </w:r>
    </w:p>
    <w:p>
      <w:pPr>
        <w:pStyle w:val="Heading1"/>
      </w:pPr>
      <w:r>
        <w:t>Required handoff fields</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80" w:type="dxa"/>
              <w:start w:w="100" w:type="dxa"/>
              <w:bottom w:w="80" w:type="dxa"/>
              <w:end w:w="100" w:type="dxa"/>
            </w:tcMar>
          </w:tcPr>
          <w:p>
            <w:r>
              <w:rPr>
                <w:b/>
              </w:rPr>
              <w:t>Field</w:t>
            </w:r>
          </w:p>
        </w:tc>
        <w:tc>
          <w:tcPr>
            <w:tcW w:type="dxa" w:w="4968"/>
            <w:shd w:fill="D9EAF7"/>
            <w:tcMar>
              <w:top w:w="80" w:type="dxa"/>
              <w:start w:w="100" w:type="dxa"/>
              <w:bottom w:w="80" w:type="dxa"/>
              <w:end w:w="100" w:type="dxa"/>
            </w:tcMar>
          </w:tcPr>
          <w:p>
            <w:r>
              <w:rPr>
                <w:b/>
              </w:rPr>
              <w:t>What to include</w:t>
            </w:r>
          </w:p>
        </w:tc>
      </w:tr>
      <w:tr>
        <w:tc>
          <w:tcPr>
            <w:tcW w:type="dxa" w:w="4968"/>
            <w:tcMar>
              <w:top w:w="80" w:type="dxa"/>
              <w:start w:w="100" w:type="dxa"/>
              <w:bottom w:w="80" w:type="dxa"/>
              <w:end w:w="100" w:type="dxa"/>
            </w:tcMar>
          </w:tcPr>
          <w:p>
            <w:r>
              <w:t>Customer and site scope</w:t>
            </w:r>
          </w:p>
        </w:tc>
        <w:tc>
          <w:tcPr>
            <w:tcW w:type="dxa" w:w="4968"/>
            <w:tcMar>
              <w:top w:w="80" w:type="dxa"/>
              <w:start w:w="100" w:type="dxa"/>
              <w:bottom w:w="80" w:type="dxa"/>
              <w:end w:w="100" w:type="dxa"/>
            </w:tcMar>
          </w:tcPr>
          <w:p>
            <w:r>
              <w:t>Account name, active warehouse sites, environment, and whether the issue is limited or multi-site.</w:t>
            </w:r>
          </w:p>
        </w:tc>
      </w:tr>
      <w:tr>
        <w:tc>
          <w:tcPr>
            <w:tcW w:type="dxa" w:w="4968"/>
            <w:tcMar>
              <w:top w:w="80" w:type="dxa"/>
              <w:start w:w="100" w:type="dxa"/>
              <w:bottom w:w="80" w:type="dxa"/>
              <w:end w:w="100" w:type="dxa"/>
            </w:tcMar>
          </w:tcPr>
          <w:p>
            <w:r>
              <w:t>Business impact</w:t>
            </w:r>
          </w:p>
        </w:tc>
        <w:tc>
          <w:tcPr>
            <w:tcW w:type="dxa" w:w="4968"/>
            <w:tcMar>
              <w:top w:w="80" w:type="dxa"/>
              <w:start w:w="100" w:type="dxa"/>
              <w:bottom w:w="80" w:type="dxa"/>
              <w:end w:w="100" w:type="dxa"/>
            </w:tcMar>
          </w:tcPr>
          <w:p>
            <w:r>
              <w:t>What operational process is blocked or at risk and whether a workaround currently exists.</w:t>
            </w:r>
          </w:p>
        </w:tc>
      </w:tr>
      <w:tr>
        <w:tc>
          <w:tcPr>
            <w:tcW w:type="dxa" w:w="4968"/>
            <w:tcMar>
              <w:top w:w="80" w:type="dxa"/>
              <w:start w:w="100" w:type="dxa"/>
              <w:bottom w:w="80" w:type="dxa"/>
              <w:end w:w="100" w:type="dxa"/>
            </w:tcMar>
          </w:tcPr>
          <w:p>
            <w:r>
              <w:t>Current status</w:t>
            </w:r>
          </w:p>
        </w:tc>
        <w:tc>
          <w:tcPr>
            <w:tcW w:type="dxa" w:w="4968"/>
            <w:tcMar>
              <w:top w:w="80" w:type="dxa"/>
              <w:start w:w="100" w:type="dxa"/>
              <w:bottom w:w="80" w:type="dxa"/>
              <w:end w:w="100" w:type="dxa"/>
            </w:tcMar>
          </w:tcPr>
          <w:p>
            <w:r>
              <w:t>Timeline summary, what has already been tried, and what evidence is attached.</w:t>
            </w:r>
          </w:p>
        </w:tc>
      </w:tr>
      <w:tr>
        <w:tc>
          <w:tcPr>
            <w:tcW w:type="dxa" w:w="4968"/>
            <w:tcMar>
              <w:top w:w="80" w:type="dxa"/>
              <w:start w:w="100" w:type="dxa"/>
              <w:bottom w:w="80" w:type="dxa"/>
              <w:end w:w="100" w:type="dxa"/>
            </w:tcMar>
          </w:tcPr>
          <w:p>
            <w:r>
              <w:t>Requested action</w:t>
            </w:r>
          </w:p>
        </w:tc>
        <w:tc>
          <w:tcPr>
            <w:tcW w:type="dxa" w:w="4968"/>
            <w:tcMar>
              <w:top w:w="80" w:type="dxa"/>
              <w:start w:w="100" w:type="dxa"/>
              <w:bottom w:w="80" w:type="dxa"/>
              <w:end w:w="100" w:type="dxa"/>
            </w:tcMar>
          </w:tcPr>
          <w:p>
            <w:r>
              <w:t>Exactly what the receiving team needs to do, decide, or validate.</w:t>
            </w:r>
          </w:p>
        </w:tc>
      </w:tr>
      <w:tr>
        <w:tc>
          <w:tcPr>
            <w:tcW w:type="dxa" w:w="4968"/>
            <w:tcMar>
              <w:top w:w="80" w:type="dxa"/>
              <w:start w:w="100" w:type="dxa"/>
              <w:bottom w:w="80" w:type="dxa"/>
              <w:end w:w="100" w:type="dxa"/>
            </w:tcMar>
          </w:tcPr>
          <w:p>
            <w:r>
              <w:t>Owner and next update</w:t>
            </w:r>
          </w:p>
        </w:tc>
        <w:tc>
          <w:tcPr>
            <w:tcW w:type="dxa" w:w="4968"/>
            <w:tcMar>
              <w:top w:w="80" w:type="dxa"/>
              <w:start w:w="100" w:type="dxa"/>
              <w:bottom w:w="80" w:type="dxa"/>
              <w:end w:w="100" w:type="dxa"/>
            </w:tcMar>
          </w:tcPr>
          <w:p>
            <w:r>
              <w:t>Named current owner, named receiving owner, and exact next customer update time.</w:t>
            </w:r>
          </w:p>
        </w:tc>
      </w:tr>
    </w:tbl>
    <w:p>
      <w:pPr>
        <w:pStyle w:val="Heading1"/>
      </w:pPr>
      <w:r>
        <w:t>Routing examples</w:t>
      </w:r>
    </w:p>
    <w:p>
      <w:pPr>
        <w:ind w:left="288" w:hanging="216"/>
      </w:pPr>
      <w:r>
        <w:rPr>
          <w:b/>
        </w:rPr>
        <w:t xml:space="preserve">• </w:t>
      </w:r>
      <w:r>
        <w:t>Escalate to Engineering when the issue appears to be a product defect, release regression, or undocumented platform behavior.</w:t>
      </w:r>
    </w:p>
    <w:p>
      <w:pPr>
        <w:ind w:left="288" w:hanging="216"/>
      </w:pPr>
      <w:r>
        <w:rPr>
          <w:b/>
        </w:rPr>
        <w:t xml:space="preserve">• </w:t>
      </w:r>
      <w:r>
        <w:t>Escalate to Logistics when replacement hardware, serial mismatch, damaged goods, or reverse-logistics routing is the blocker.</w:t>
      </w:r>
    </w:p>
    <w:p>
      <w:pPr>
        <w:ind w:left="288" w:hanging="216"/>
      </w:pPr>
      <w:r>
        <w:rPr>
          <w:b/>
        </w:rPr>
        <w:t xml:space="preserve">• </w:t>
      </w:r>
      <w:r>
        <w:t>Escalate to Product/PMO when the customer needs a roadmap decision, formal change request, or launch-governance exception.</w:t>
      </w:r>
    </w:p>
    <w:p>
      <w:pPr>
        <w:pStyle w:val="Heading1"/>
      </w:pPr>
      <w:r>
        <w:t>Quality bar for a handoff</w:t>
      </w:r>
    </w:p>
    <w:p>
      <w:pPr>
        <w:ind w:left="288" w:hanging="216"/>
      </w:pPr>
      <w:r>
        <w:rPr>
          <w:b/>
        </w:rPr>
        <w:t xml:space="preserve">• </w:t>
      </w:r>
      <w:r>
        <w:t>Do not forward a case with only a ticket link and a short sentence. The receiving team must not need to reconstruct the entire story from raw comments.</w:t>
      </w:r>
    </w:p>
    <w:p>
      <w:pPr>
        <w:ind w:left="288" w:hanging="216"/>
      </w:pPr>
      <w:r>
        <w:rPr>
          <w:b/>
        </w:rPr>
        <w:t xml:space="preserve">• </w:t>
      </w:r>
      <w:r>
        <w:t>Every handoff must include a business-impact statement and a specific ask. Without those two items, escalation quality is considered incomplete.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55C7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